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DD9C" w14:textId="65BCA8D4" w:rsidR="00184482" w:rsidRDefault="000A0D2E">
      <w:pPr>
        <w:spacing w:line="315" w:lineRule="auto"/>
        <w:rPr>
          <w:rFonts w:ascii="仿宋_GB2312" w:eastAsia="仿宋_GB2312" w:hAnsi="仿宋_GB2312" w:cs="仿宋_GB2312"/>
          <w:spacing w:val="1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1"/>
          <w:sz w:val="28"/>
          <w:szCs w:val="28"/>
          <w:lang w:eastAsia="zh-CN"/>
        </w:rPr>
        <w:t>附件</w:t>
      </w:r>
      <w:r w:rsidR="00653164">
        <w:rPr>
          <w:rFonts w:ascii="仿宋_GB2312" w:eastAsia="仿宋_GB2312" w:hAnsi="仿宋_GB2312" w:cs="仿宋_GB2312"/>
          <w:spacing w:val="1"/>
          <w:sz w:val="28"/>
          <w:szCs w:val="28"/>
          <w:lang w:eastAsia="zh-CN"/>
        </w:rPr>
        <w:t>2</w:t>
      </w:r>
    </w:p>
    <w:p w14:paraId="3BB0FB8C" w14:textId="77777777" w:rsidR="000A0D2E" w:rsidRDefault="000A0D2E" w:rsidP="000A0D2E">
      <w:pPr>
        <w:pStyle w:val="a3"/>
        <w:spacing w:before="101" w:line="224" w:lineRule="auto"/>
        <w:jc w:val="center"/>
        <w:rPr>
          <w:rFonts w:ascii="方正小标宋简体" w:eastAsia="方正小标宋简体" w:hAnsi="方正小标宋简体" w:cs="方正小标宋简体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</w:pP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“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旺海杯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”第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四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届渔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菁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英挑战赛团体比赛</w:t>
      </w:r>
    </w:p>
    <w:p w14:paraId="0EF5F29E" w14:textId="3EB4DDE2" w:rsidR="00184482" w:rsidRDefault="000A0D2E" w:rsidP="000A0D2E">
      <w:pPr>
        <w:pStyle w:val="a3"/>
        <w:spacing w:before="101" w:line="224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内容</w:t>
      </w:r>
      <w:r>
        <w:rPr>
          <w:rFonts w:ascii="方正小标宋简体" w:eastAsia="方正小标宋简体" w:hAnsi="方正小标宋简体" w:cs="方正小标宋简体" w:hint="eastAsia"/>
          <w:color w:val="303030"/>
          <w:spacing w:val="-1"/>
          <w:sz w:val="40"/>
          <w:szCs w:val="40"/>
          <w:lang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lim="0"/>
          </w14:textOutline>
        </w:rPr>
        <w:t>专业技能竞赛</w:t>
      </w:r>
    </w:p>
    <w:p w14:paraId="70226585" w14:textId="77777777" w:rsidR="00184482" w:rsidRDefault="00184482">
      <w:pPr>
        <w:spacing w:line="354" w:lineRule="auto"/>
        <w:rPr>
          <w:sz w:val="18"/>
          <w:szCs w:val="18"/>
          <w:lang w:eastAsia="zh-CN"/>
        </w:rPr>
      </w:pPr>
    </w:p>
    <w:p w14:paraId="4C5E247B" w14:textId="77777777" w:rsidR="00184482" w:rsidRDefault="000A0D2E">
      <w:pPr>
        <w:pStyle w:val="a3"/>
        <w:spacing w:before="91" w:line="411" w:lineRule="auto"/>
        <w:ind w:left="26" w:right="75" w:firstLine="560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lang w:eastAsia="zh-CN"/>
        </w:rPr>
        <w:t>参赛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学生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在规定时间内于指定比赛现场进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行实验项目的操作</w:t>
      </w:r>
      <w:r>
        <w:rPr>
          <w:rFonts w:ascii="仿宋_GB2312" w:eastAsia="仿宋_GB2312" w:hAnsi="仿宋_GB2312" w:cs="仿宋_GB2312" w:hint="eastAsia"/>
          <w:spacing w:val="-4"/>
          <w:lang w:eastAsia="zh-CN"/>
        </w:rPr>
        <w:t>，现场评委根据参赛</w:t>
      </w:r>
      <w:r>
        <w:rPr>
          <w:rFonts w:ascii="仿宋_GB2312" w:eastAsia="仿宋_GB2312" w:hAnsi="仿宋_GB2312" w:cs="仿宋_GB2312" w:hint="eastAsia"/>
          <w:spacing w:val="-4"/>
          <w:lang w:eastAsia="zh-CN"/>
        </w:rPr>
        <w:t>学生</w:t>
      </w:r>
      <w:r>
        <w:rPr>
          <w:rFonts w:ascii="仿宋_GB2312" w:eastAsia="仿宋_GB2312" w:hAnsi="仿宋_GB2312" w:cs="仿宋_GB2312" w:hint="eastAsia"/>
          <w:spacing w:val="-4"/>
          <w:lang w:eastAsia="zh-CN"/>
        </w:rPr>
        <w:t>完成的实际操作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情况进行评分。该项竞赛成绩占总成绩的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60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%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。</w:t>
      </w:r>
    </w:p>
    <w:p w14:paraId="5CA58132" w14:textId="77777777" w:rsidR="00184482" w:rsidRDefault="000A0D2E">
      <w:pPr>
        <w:pStyle w:val="a3"/>
        <w:spacing w:before="290" w:line="220" w:lineRule="auto"/>
        <w:ind w:left="587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lang w:eastAsia="zh-CN"/>
        </w:rPr>
        <w:t>竞赛大纲：</w:t>
      </w:r>
    </w:p>
    <w:p w14:paraId="44859917" w14:textId="77777777" w:rsidR="00184482" w:rsidRDefault="000A0D2E">
      <w:pPr>
        <w:pStyle w:val="a3"/>
        <w:spacing w:before="292" w:line="411" w:lineRule="auto"/>
        <w:ind w:left="29" w:right="72" w:firstLine="562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lang w:eastAsia="zh-CN"/>
        </w:rPr>
        <w:t>（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1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）水产动物健康状况综合评价：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通过对水产动物进行分类鉴</w:t>
      </w:r>
      <w:r>
        <w:rPr>
          <w:rFonts w:ascii="仿宋_GB2312" w:eastAsia="仿宋_GB2312" w:hAnsi="仿宋_GB2312" w:cs="仿宋_GB2312" w:hint="eastAsia"/>
          <w:spacing w:val="15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7"/>
          <w:lang w:eastAsia="zh-CN"/>
        </w:rPr>
        <w:t>定，</w:t>
      </w:r>
      <w:r>
        <w:rPr>
          <w:rFonts w:ascii="仿宋_GB2312" w:eastAsia="仿宋_GB2312" w:hAnsi="仿宋_GB2312" w:cs="仿宋_GB2312" w:hint="eastAsia"/>
          <w:spacing w:val="-3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7"/>
          <w:lang w:eastAsia="zh-CN"/>
        </w:rPr>
        <w:t>测定其主要形态可量、可数性状，分析年龄、生长、食性、繁殖</w:t>
      </w:r>
      <w:r>
        <w:rPr>
          <w:rFonts w:ascii="仿宋_GB2312" w:eastAsia="仿宋_GB2312" w:hAnsi="仿宋_GB2312" w:cs="仿宋_GB2312" w:hint="eastAsia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lang w:eastAsia="zh-CN"/>
        </w:rPr>
        <w:t>力等，</w:t>
      </w:r>
      <w:r>
        <w:rPr>
          <w:rFonts w:ascii="仿宋_GB2312" w:eastAsia="仿宋_GB2312" w:hAnsi="仿宋_GB2312" w:cs="仿宋_GB2312" w:hint="eastAsia"/>
          <w:spacing w:val="-43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lang w:eastAsia="zh-CN"/>
        </w:rPr>
        <w:t>综合判断水产动物的质量和品质，</w:t>
      </w:r>
      <w:r>
        <w:rPr>
          <w:rFonts w:ascii="仿宋_GB2312" w:eastAsia="仿宋_GB2312" w:hAnsi="仿宋_GB2312" w:cs="仿宋_GB2312" w:hint="eastAsia"/>
          <w:spacing w:val="-69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lang w:eastAsia="zh-CN"/>
        </w:rPr>
        <w:t>并对水产动物</w:t>
      </w:r>
      <w:r>
        <w:rPr>
          <w:rFonts w:ascii="仿宋_GB2312" w:eastAsia="仿宋_GB2312" w:hAnsi="仿宋_GB2312" w:cs="仿宋_GB2312" w:hint="eastAsia"/>
          <w:spacing w:val="-10"/>
          <w:lang w:eastAsia="zh-CN"/>
        </w:rPr>
        <w:t>健康养殖提出</w:t>
      </w:r>
    </w:p>
    <w:p w14:paraId="7D79947B" w14:textId="77777777" w:rsidR="00184482" w:rsidRDefault="000A0D2E">
      <w:pPr>
        <w:pStyle w:val="a3"/>
        <w:spacing w:before="1" w:line="220" w:lineRule="auto"/>
        <w:ind w:left="26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lang w:eastAsia="zh-CN"/>
        </w:rPr>
        <w:t>合理化建议。</w:t>
      </w:r>
    </w:p>
    <w:p w14:paraId="1A8517C0" w14:textId="77777777" w:rsidR="00184482" w:rsidRDefault="000A0D2E">
      <w:pPr>
        <w:pStyle w:val="a3"/>
        <w:spacing w:before="291" w:line="411" w:lineRule="auto"/>
        <w:ind w:left="27" w:right="22" w:firstLine="564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lang w:eastAsia="zh-CN"/>
        </w:rPr>
        <w:t>（</w:t>
      </w:r>
      <w:r>
        <w:rPr>
          <w:rFonts w:ascii="仿宋_GB2312" w:eastAsia="仿宋_GB2312" w:hAnsi="仿宋_GB2312" w:cs="仿宋_GB2312" w:hint="eastAsia"/>
          <w:spacing w:val="-2"/>
          <w:lang w:eastAsia="zh-CN"/>
        </w:rPr>
        <w:t>2</w:t>
      </w:r>
      <w:r>
        <w:rPr>
          <w:rFonts w:ascii="仿宋_GB2312" w:eastAsia="仿宋_GB2312" w:hAnsi="仿宋_GB2312" w:cs="仿宋_GB2312" w:hint="eastAsia"/>
          <w:spacing w:val="-2"/>
          <w:lang w:eastAsia="zh-CN"/>
        </w:rPr>
        <w:t>）水产动物疾病诊断：通过对水产动物进行临床解剖，制备血液样本，测定主要生理生化等指标。综合利用微生物学、免疫学、</w:t>
      </w:r>
      <w:r>
        <w:rPr>
          <w:rFonts w:ascii="仿宋_GB2312" w:eastAsia="仿宋_GB2312" w:hAnsi="仿宋_GB2312" w:cs="仿宋_GB2312" w:hint="eastAsia"/>
          <w:spacing w:val="-11"/>
          <w:lang w:eastAsia="zh-CN"/>
        </w:rPr>
        <w:t>分子生物学手段，鉴定主要致病性病原，</w:t>
      </w:r>
      <w:r>
        <w:rPr>
          <w:rFonts w:ascii="仿宋_GB2312" w:eastAsia="仿宋_GB2312" w:hAnsi="仿宋_GB2312" w:cs="仿宋_GB2312" w:hint="eastAsia"/>
          <w:spacing w:val="-39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lang w:eastAsia="zh-CN"/>
        </w:rPr>
        <w:t>分析免疫应答与反应，并开</w:t>
      </w:r>
      <w:r>
        <w:rPr>
          <w:rFonts w:ascii="仿宋_GB2312" w:eastAsia="仿宋_GB2312" w:hAnsi="仿宋_GB2312" w:cs="仿宋_GB2312" w:hint="eastAsia"/>
          <w:spacing w:val="-2"/>
          <w:lang w:eastAsia="zh-CN"/>
        </w:rPr>
        <w:t>展综合诊断，提出较为有效的治疗措施。</w:t>
      </w:r>
    </w:p>
    <w:p w14:paraId="6D054291" w14:textId="77777777" w:rsidR="00184482" w:rsidRDefault="000A0D2E">
      <w:pPr>
        <w:pStyle w:val="a3"/>
        <w:spacing w:before="292" w:line="411" w:lineRule="auto"/>
        <w:ind w:left="25" w:right="75" w:firstLine="567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lang w:eastAsia="zh-CN"/>
        </w:rPr>
        <w:t>（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3</w:t>
      </w:r>
      <w:r>
        <w:rPr>
          <w:rFonts w:ascii="仿宋_GB2312" w:eastAsia="仿宋_GB2312" w:hAnsi="仿宋_GB2312" w:cs="仿宋_GB2312" w:hint="eastAsia"/>
          <w:spacing w:val="-1"/>
          <w:lang w:eastAsia="zh-CN"/>
        </w:rPr>
        <w:t>）水产动物营养与饲料配方设计：通过视觉，嗅觉，味觉和</w:t>
      </w:r>
      <w:r>
        <w:rPr>
          <w:rFonts w:ascii="仿宋_GB2312" w:eastAsia="仿宋_GB2312" w:hAnsi="仿宋_GB2312" w:cs="仿宋_GB2312" w:hint="eastAsia"/>
          <w:spacing w:val="9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触觉等方式辨识不同饲料原料；</w:t>
      </w:r>
      <w:r>
        <w:rPr>
          <w:rFonts w:ascii="仿宋_GB2312" w:eastAsia="仿宋_GB2312" w:hAnsi="仿宋_GB2312" w:cs="仿宋_GB2312" w:hint="eastAsia"/>
          <w:spacing w:val="-66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lang w:eastAsia="zh-CN"/>
        </w:rPr>
        <w:t>根据饲料原料营养价值，养殖品种的</w:t>
      </w:r>
      <w:r>
        <w:rPr>
          <w:rFonts w:ascii="仿宋_GB2312" w:eastAsia="仿宋_GB2312" w:hAnsi="仿宋_GB2312" w:cs="仿宋_GB2312" w:hint="eastAsia"/>
          <w:spacing w:val="-9"/>
          <w:lang w:eastAsia="zh-CN"/>
        </w:rPr>
        <w:t>营养需求，原料性价比等因素科学合理地设计饲料配方</w:t>
      </w:r>
      <w:r>
        <w:rPr>
          <w:rFonts w:ascii="仿宋_GB2312" w:eastAsia="仿宋_GB2312" w:hAnsi="仿宋_GB2312" w:cs="仿宋_GB2312" w:hint="eastAsia"/>
          <w:spacing w:val="-10"/>
          <w:lang w:eastAsia="zh-CN"/>
        </w:rPr>
        <w:t>，并为水产动</w:t>
      </w:r>
      <w:r>
        <w:rPr>
          <w:rFonts w:ascii="仿宋_GB2312" w:eastAsia="仿宋_GB2312" w:hAnsi="仿宋_GB2312" w:cs="仿宋_GB2312" w:hint="eastAsia"/>
          <w:spacing w:val="-3"/>
          <w:lang w:eastAsia="zh-CN"/>
        </w:rPr>
        <w:t>物精准营养饲料配方的研发提出合理性建议。</w:t>
      </w:r>
    </w:p>
    <w:p w14:paraId="23A83ADB" w14:textId="77777777" w:rsidR="00184482" w:rsidRDefault="00184482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sectPr w:rsidR="0018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30"/>
    <w:rsid w:val="00062B55"/>
    <w:rsid w:val="000A0D2E"/>
    <w:rsid w:val="00184482"/>
    <w:rsid w:val="001D4C1C"/>
    <w:rsid w:val="00653164"/>
    <w:rsid w:val="00893830"/>
    <w:rsid w:val="0DDD576B"/>
    <w:rsid w:val="29086F52"/>
    <w:rsid w:val="2DBE40EA"/>
    <w:rsid w:val="33CC719C"/>
    <w:rsid w:val="485B09F4"/>
    <w:rsid w:val="5A025174"/>
    <w:rsid w:val="5B3510FA"/>
    <w:rsid w:val="67455349"/>
    <w:rsid w:val="69DA3A17"/>
    <w:rsid w:val="77D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BC8E"/>
  <w15:docId w15:val="{F926838B-538A-486E-B178-B18D2171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28"/>
      <w:szCs w:val="28"/>
    </w:rPr>
  </w:style>
  <w:style w:type="character" w:customStyle="1" w:styleId="a4">
    <w:name w:val="正文文本 字符"/>
    <w:basedOn w:val="a0"/>
    <w:link w:val="a3"/>
    <w:semiHidden/>
    <w:qFormat/>
    <w:rPr>
      <w:rFonts w:ascii="宋体" w:eastAsia="宋体" w:hAnsi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Admin</cp:lastModifiedBy>
  <cp:revision>5</cp:revision>
  <dcterms:created xsi:type="dcterms:W3CDTF">2023-09-19T14:06:00Z</dcterms:created>
  <dcterms:modified xsi:type="dcterms:W3CDTF">2025-09-02T02:45:00Z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eyJoZGlkIjoiM2M0NGIzYzY3ZjFjMzg2MWZkYjMyZTgzNzViMTRkN2EiLCJ1c2VySWQiOiI1MzMwNTM2NjQifQ==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8D1E9FF7CA684F05940D3C00172C7200_12</vt:lpwstr>
  </property>
</Properties>
</file>