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eastAsia="zh-CN"/>
        </w:rPr>
        <w:t>附件</w:t>
      </w:r>
      <w:r>
        <w:rPr>
          <w:rFonts w:hint="eastAsia" w:ascii="Times New Roman" w:hAnsi="Times New Roman" w:eastAsia="仿宋_GB2312" w:cs="Times New Roman"/>
          <w:b/>
          <w:bCs/>
          <w:sz w:val="32"/>
          <w:szCs w:val="32"/>
          <w:lang w:val="en-US" w:eastAsia="zh-CN"/>
        </w:rPr>
        <w:t>3</w:t>
      </w:r>
    </w:p>
    <w:p>
      <w:pPr>
        <w:spacing w:line="360" w:lineRule="auto"/>
        <w:jc w:val="center"/>
        <w:rPr>
          <w:rFonts w:hint="default" w:ascii="Times New Roman" w:hAnsi="Times New Roman" w:eastAsia="仿宋_GB2312" w:cs="Times New Roman"/>
          <w:b/>
          <w:bCs/>
          <w:sz w:val="32"/>
          <w:szCs w:val="32"/>
        </w:rPr>
      </w:pPr>
      <w:r>
        <w:rPr>
          <w:rFonts w:hint="eastAsia" w:ascii="方正小标宋简体" w:hAnsi="方正小标宋简体" w:eastAsia="方正小标宋简体" w:cs="方正小标宋简体"/>
          <w:b/>
          <w:bCs/>
          <w:sz w:val="44"/>
          <w:szCs w:val="44"/>
        </w:rPr>
        <w:t>导师进行研究生</w:t>
      </w:r>
      <w:r>
        <w:rPr>
          <w:rFonts w:hint="eastAsia" w:ascii="方正小标宋简体" w:hAnsi="方正小标宋简体" w:eastAsia="方正小标宋简体" w:cs="方正小标宋简体"/>
          <w:b/>
          <w:bCs/>
          <w:sz w:val="44"/>
          <w:szCs w:val="44"/>
          <w:lang w:eastAsia="zh-CN"/>
        </w:rPr>
        <w:t>培养计划</w:t>
      </w:r>
      <w:r>
        <w:rPr>
          <w:rFonts w:hint="eastAsia" w:ascii="方正小标宋简体" w:hAnsi="方正小标宋简体" w:eastAsia="方正小标宋简体" w:cs="方正小标宋简体"/>
          <w:b/>
          <w:bCs/>
          <w:sz w:val="44"/>
          <w:szCs w:val="44"/>
        </w:rPr>
        <w:t>审核说明</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一、研究生系统登录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w:t>
      </w:r>
      <w:bookmarkStart w:id="0" w:name="_GoBack"/>
      <w:bookmarkEnd w:id="0"/>
      <w:r>
        <w:rPr>
          <w:rFonts w:hint="default" w:ascii="Times New Roman" w:hAnsi="Times New Roman" w:eastAsia="仿宋_GB2312" w:cs="Times New Roman"/>
          <w:sz w:val="32"/>
          <w:szCs w:val="32"/>
        </w:rPr>
        <w:t>过校园网登陆门户系统选择“研究生系统（2018级）”。若您在校外使用，请先登录VPN，再进行系统操作，建议使用谷歌浏览器登录该系统，以便获得较好的用户体验。</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8755" cy="20580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7750" cy="2061920"/>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点击进入新版研究生综合管理系统</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7459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474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制定审核流程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查看本专业培养方案——选择研究方向——选择相应计划课程——提交导师审核——导师审核通过——提交学院审核——学院审核通过——选课。</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三、导师审核研究生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是研究生培养的核心内容，一般情况下，研究生已完成并审核通过的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不允许进行调整，因此在制定计划时请各位导师务必指导研究生进行</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的制定，慎重考虑，因需而定，确保研究生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制定的准确、合理。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的学分要求不得低于本专业培养方案规定的总学分要求及各模块课程和环节的学分要求，目前系统已根据培养方案的最低要求对各个课程模块进行了限定，未满足要求的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，研究生将无法提交至导师进行审核。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研究生已制定的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中的相关课程，在获得成绩后将无法再进行该课程计划的调整。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中的必修课程与环节在任何情况下均不能进行调整，必须完成。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学校对研究生开放制定培养计划和选课期间，如已完成选课，在调整计划时须先进行退课处理，再进行该门课程的计划调整。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因培养方案课程体系修改、教学计划调整出现的课程停开、取消等原因不能再执行原个人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者，需研究生本人线下向导师、学院申请调整</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，经学院、研究生院审批通过后，由研究生院进行调整操作。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如果需要研究生修读培养方案外的相关课程充实</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，可要求学生在其</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的“其他课程”模块中使用“增加其他课程功能”。</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图解说明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查看学生已完成并提交的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7468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1747115"/>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查询页面，如下图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193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2419834"/>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进入审核页面进行审核操作，如下图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6189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2461955"/>
                    </a:xfrm>
                    <a:prstGeom prst="rect">
                      <a:avLst/>
                    </a:prstGeom>
                  </pic:spPr>
                </pic:pic>
              </a:graphicData>
            </a:graphic>
          </wp:inline>
        </w:drawing>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4370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4310" cy="14370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课程分组的解释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部分培养方案当中有课程分组选择，要求该课程组中的课程选择数量要求，如下图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72542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74310" cy="2725671"/>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192655"/>
            <wp:effectExtent l="0" t="0" r="2540" b="0"/>
            <wp:docPr id="8" name="图片 8" descr="C:\Users\Administrator\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1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193029"/>
                    </a:xfrm>
                    <a:prstGeom prst="rect">
                      <a:avLst/>
                    </a:prstGeom>
                    <a:noFill/>
                    <a:ln>
                      <a:noFill/>
                    </a:ln>
                  </pic:spPr>
                </pic:pic>
              </a:graphicData>
            </a:graphic>
          </wp:inline>
        </w:drawing>
      </w:r>
    </w:p>
    <w:p>
      <w:pPr>
        <w:rPr>
          <w:rFonts w:hint="default" w:ascii="Times New Roman" w:hAnsi="Times New Roman" w:eastAsia="仿宋_GB2312" w:cs="Times New Roman"/>
          <w:sz w:val="32"/>
          <w:szCs w:val="32"/>
        </w:rPr>
      </w:pPr>
    </w:p>
    <w:sectPr>
      <w:footerReference r:id="rId3" w:type="default"/>
      <w:pgSz w:w="11906" w:h="16838"/>
      <w:pgMar w:top="851"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679427"/>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71"/>
    <w:rsid w:val="00013DC4"/>
    <w:rsid w:val="00271471"/>
    <w:rsid w:val="0034610E"/>
    <w:rsid w:val="00357E9F"/>
    <w:rsid w:val="003B00B6"/>
    <w:rsid w:val="00402112"/>
    <w:rsid w:val="00447D7C"/>
    <w:rsid w:val="005515B9"/>
    <w:rsid w:val="00597308"/>
    <w:rsid w:val="00616FA3"/>
    <w:rsid w:val="006B399D"/>
    <w:rsid w:val="0077391E"/>
    <w:rsid w:val="00786042"/>
    <w:rsid w:val="007A3EB8"/>
    <w:rsid w:val="007B5EBC"/>
    <w:rsid w:val="007D3F6D"/>
    <w:rsid w:val="00847059"/>
    <w:rsid w:val="00855643"/>
    <w:rsid w:val="008A5173"/>
    <w:rsid w:val="008D1492"/>
    <w:rsid w:val="00A276D7"/>
    <w:rsid w:val="00AE1DD8"/>
    <w:rsid w:val="00AF2552"/>
    <w:rsid w:val="00C13DAF"/>
    <w:rsid w:val="00C379F8"/>
    <w:rsid w:val="00C76130"/>
    <w:rsid w:val="00D57D40"/>
    <w:rsid w:val="00DC2076"/>
    <w:rsid w:val="00E35B85"/>
    <w:rsid w:val="00F04171"/>
    <w:rsid w:val="00FC2277"/>
    <w:rsid w:val="14D90A71"/>
    <w:rsid w:val="28D74FC4"/>
    <w:rsid w:val="370E6ED7"/>
    <w:rsid w:val="5C00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133</Words>
  <Characters>759</Characters>
  <Lines>6</Lines>
  <Paragraphs>1</Paragraphs>
  <TotalTime>85</TotalTime>
  <ScaleCrop>false</ScaleCrop>
  <LinksUpToDate>false</LinksUpToDate>
  <CharactersWithSpaces>891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2019-02-27T11:12:00Z</dcterms:created>
  <dc:creator>Administrator</dc:creator>
  <cp:lastModifiedBy>车晓飞</cp:lastModifiedBy>
  <dcterms:modified xsi:type="dcterms:W3CDTF">2019-08-13T02:19:14Z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