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424589AD"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A47461">
        <w:rPr>
          <w:rFonts w:ascii="Arial" w:hAnsi="Arial" w:cs="Arial"/>
          <w:b/>
          <w:lang w:val="en-US"/>
        </w:rPr>
        <w:t xml:space="preserve">Internship – Treasury Management </w:t>
      </w:r>
      <w:r w:rsidR="00C62ED6">
        <w:rPr>
          <w:rFonts w:ascii="Arial" w:hAnsi="Arial" w:cs="Arial"/>
          <w:b/>
          <w:lang w:val="en-US"/>
        </w:rPr>
        <w:t>System</w:t>
      </w:r>
      <w:r w:rsidR="0076752F">
        <w:rPr>
          <w:rFonts w:ascii="Arial" w:hAnsi="Arial" w:cs="Arial"/>
          <w:b/>
          <w:lang w:val="en-US"/>
        </w:rPr>
        <w:t>s</w:t>
      </w:r>
      <w:r w:rsidR="00C62ED6">
        <w:rPr>
          <w:rFonts w:ascii="Arial" w:hAnsi="Arial" w:cs="Arial"/>
          <w:b/>
          <w:lang w:val="en-US"/>
        </w:rPr>
        <w:t xml:space="preserve"> and FX/Investment</w:t>
      </w:r>
    </w:p>
    <w:p w14:paraId="55DF61B6" w14:textId="77777777" w:rsidR="009E0061" w:rsidRDefault="009E0061" w:rsidP="009E0061">
      <w:pPr>
        <w:spacing w:after="0" w:line="240" w:lineRule="auto"/>
        <w:rPr>
          <w:rFonts w:ascii="Arial" w:hAnsi="Arial" w:cs="Arial"/>
          <w:b/>
          <w:lang w:val="en-US"/>
        </w:rPr>
      </w:pPr>
    </w:p>
    <w:p w14:paraId="420EE68F" w14:textId="67E0FC38"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C62ED6">
        <w:rPr>
          <w:rFonts w:ascii="Arial" w:hAnsi="Arial" w:cs="Arial"/>
          <w:b/>
          <w:lang w:val="en-US"/>
        </w:rPr>
        <w:t>DFAM Treasury &amp; Cash Service</w:t>
      </w:r>
    </w:p>
    <w:p w14:paraId="617DFF46" w14:textId="77777777" w:rsidR="00FE2383" w:rsidRPr="00FE2383" w:rsidRDefault="00FE2383" w:rsidP="009E0061">
      <w:pPr>
        <w:spacing w:after="0" w:line="240" w:lineRule="auto"/>
        <w:rPr>
          <w:rFonts w:ascii="Arial" w:hAnsi="Arial" w:cs="Arial"/>
          <w:b/>
          <w:lang w:val="en-US"/>
        </w:rPr>
      </w:pPr>
    </w:p>
    <w:p w14:paraId="02A40F56" w14:textId="10D9DA97"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C62ED6">
        <w:rPr>
          <w:rFonts w:ascii="Arial" w:hAnsi="Arial" w:cs="Arial"/>
          <w:b/>
          <w:lang w:val="en-US"/>
        </w:rPr>
        <w:t>Geneva HQ</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5CE9BA84" w14:textId="69FE4DDB" w:rsidR="00A41AB6"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2652128C" w14:textId="48D7BF8C" w:rsidR="00A41AB6" w:rsidRPr="00A41AB6" w:rsidRDefault="00A41AB6" w:rsidP="00C561EE">
      <w:pPr>
        <w:jc w:val="both"/>
        <w:rPr>
          <w:rFonts w:cstheme="minorHAnsi"/>
          <w:iCs/>
        </w:rPr>
      </w:pPr>
      <w:r w:rsidRPr="005D0413">
        <w:rPr>
          <w:rFonts w:cstheme="minorHAnsi"/>
          <w:iCs/>
        </w:rPr>
        <w:t>The United Nations High Commissioner for Refugees (UNHCR) provides international protection under the auspices of the United Nations, to refugees and other persons of concern, including stateless and internally displaced persons. UNHCR follows policy directives from the General Assembly or the Economic and Social Council.</w:t>
      </w:r>
    </w:p>
    <w:p w14:paraId="3E24DE9E" w14:textId="66C7E67C" w:rsidR="00215159" w:rsidRDefault="00215159" w:rsidP="00C561EE">
      <w:pPr>
        <w:jc w:val="both"/>
      </w:pPr>
      <w:r>
        <w:t xml:space="preserve">The Team </w:t>
      </w:r>
      <w:r w:rsidR="00BF2CDC">
        <w:t>that the</w:t>
      </w:r>
      <w:r>
        <w:t xml:space="preserve"> Intern will be working within is in charge of </w:t>
      </w:r>
      <w:r w:rsidRPr="00361B83">
        <w:t>apply</w:t>
      </w:r>
      <w:r>
        <w:t>ing</w:t>
      </w:r>
      <w:r w:rsidRPr="00361B83">
        <w:t xml:space="preserve"> best practices </w:t>
      </w:r>
      <w:r>
        <w:t>in foreign exchange, liquidity management and risk management</w:t>
      </w:r>
      <w:r w:rsidRPr="00361B83">
        <w:t xml:space="preserve"> </w:t>
      </w:r>
      <w:r>
        <w:t xml:space="preserve">in order to </w:t>
      </w:r>
      <w:r w:rsidRPr="00361B83">
        <w:t>managing associated financial risk through an integrated enhanced centralized approach within its current global management in liquidity i) $ 3.5 bn. in receipts of contributions in 10 major currencies and ii) $3.2 bn. providing the funding for disbursements worldwide in 98 currencies throughout 125 countries and 325 field operational bank accounts.</w:t>
      </w:r>
    </w:p>
    <w:p w14:paraId="077194AD" w14:textId="294AE01E" w:rsidR="003B02E0" w:rsidRDefault="000839A7" w:rsidP="00C561EE">
      <w:pPr>
        <w:jc w:val="both"/>
      </w:pPr>
      <w:r>
        <w:t xml:space="preserve">This Intern </w:t>
      </w:r>
      <w:r w:rsidR="00664DD0">
        <w:t xml:space="preserve">will be working with </w:t>
      </w:r>
      <w:r w:rsidRPr="00361B83">
        <w:t xml:space="preserve">the </w:t>
      </w:r>
      <w:r>
        <w:t>Assistant Treasurer</w:t>
      </w:r>
      <w:r w:rsidR="00664DD0">
        <w:t>, Senior Treasury Officer – Investment and Treasury Officer</w:t>
      </w:r>
      <w:r w:rsidR="00DC290F">
        <w:t xml:space="preserve"> – FX</w:t>
      </w:r>
      <w:r>
        <w:t xml:space="preserve"> at Treasury and Cash Service</w:t>
      </w:r>
      <w:r w:rsidRPr="00361B83">
        <w:t>, within the Division for Financial and Administrative Management (DFAM).</w:t>
      </w:r>
      <w:r>
        <w:t xml:space="preserve"> </w:t>
      </w:r>
    </w:p>
    <w:p w14:paraId="65C31A20" w14:textId="3BE211B5" w:rsidR="002F7634" w:rsidRDefault="002F7634" w:rsidP="00C561EE">
      <w:pPr>
        <w:jc w:val="both"/>
      </w:pPr>
      <w:r>
        <w:t xml:space="preserve">Through this Internship opportunities, the Intern </w:t>
      </w:r>
      <w:r w:rsidR="00B21E51">
        <w:t>would be learning the cutting</w:t>
      </w:r>
      <w:r w:rsidR="0095652B">
        <w:t>-</w:t>
      </w:r>
      <w:r w:rsidR="00B21E51">
        <w:t xml:space="preserve">edge Treasury Management Systems (FIS Integrity and </w:t>
      </w:r>
      <w:proofErr w:type="spellStart"/>
      <w:r w:rsidR="00B21E51">
        <w:t>eBAM</w:t>
      </w:r>
      <w:proofErr w:type="spellEnd"/>
      <w:r w:rsidR="00B21E51">
        <w:t>)</w:t>
      </w:r>
      <w:r w:rsidR="0095652B">
        <w:t xml:space="preserve"> and</w:t>
      </w:r>
      <w:r w:rsidR="00B21E51">
        <w:t xml:space="preserve"> Cloud ERP System for Cash Management (Oracle Cloud)</w:t>
      </w:r>
      <w:r w:rsidR="0095652B">
        <w:t xml:space="preserve"> IT infrastructure and system </w:t>
      </w:r>
      <w:r w:rsidR="00C1441A">
        <w:t>structure</w:t>
      </w:r>
      <w:r w:rsidR="00B21E51">
        <w:t>, Foreign Exchange and Investment financial transactions and accounting, banking integration and fund settlement protocol and required information, and also the overall organizational liquidity management, risk monitoring and management in the truly global environment.</w:t>
      </w:r>
    </w:p>
    <w:p w14:paraId="0B9DDFF3" w14:textId="77777777" w:rsidR="00C1441A" w:rsidRDefault="00C1441A" w:rsidP="00FE2383">
      <w:pPr>
        <w:jc w:val="both"/>
        <w:rPr>
          <w:rFonts w:ascii="Arial" w:hAnsi="Arial" w:cs="Arial"/>
          <w:b/>
          <w:lang w:val="en-US"/>
        </w:rPr>
      </w:pPr>
    </w:p>
    <w:p w14:paraId="45024F00" w14:textId="3C013CEF"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049D92FD" w14:textId="54EA38B1" w:rsidR="00FE2383" w:rsidRPr="00C561EE" w:rsidRDefault="00E64722" w:rsidP="00FE2383">
      <w:pPr>
        <w:pStyle w:val="ListParagraph"/>
        <w:numPr>
          <w:ilvl w:val="0"/>
          <w:numId w:val="1"/>
        </w:numPr>
        <w:jc w:val="both"/>
        <w:rPr>
          <w:rFonts w:cstheme="minorHAnsi"/>
          <w:bCs/>
          <w:lang w:val="en-US"/>
        </w:rPr>
      </w:pPr>
      <w:r w:rsidRPr="00C561EE">
        <w:rPr>
          <w:rFonts w:cstheme="minorHAnsi"/>
          <w:bCs/>
          <w:lang w:val="en-US"/>
        </w:rPr>
        <w:t xml:space="preserve">Supporting Treasury staff in </w:t>
      </w:r>
      <w:r w:rsidR="00C1441A" w:rsidRPr="00C561EE">
        <w:rPr>
          <w:rFonts w:cstheme="minorHAnsi"/>
          <w:bCs/>
          <w:lang w:val="en-US"/>
        </w:rPr>
        <w:t xml:space="preserve">entering data and </w:t>
      </w:r>
      <w:r w:rsidRPr="00C561EE">
        <w:rPr>
          <w:rFonts w:cstheme="minorHAnsi"/>
          <w:bCs/>
          <w:lang w:val="en-US"/>
        </w:rPr>
        <w:t>a</w:t>
      </w:r>
      <w:r w:rsidR="002F7634" w:rsidRPr="00C561EE">
        <w:rPr>
          <w:rFonts w:cstheme="minorHAnsi"/>
          <w:bCs/>
          <w:lang w:val="en-US"/>
        </w:rPr>
        <w:t>dministering and validating the configurations</w:t>
      </w:r>
      <w:r w:rsidR="00BA2CB4" w:rsidRPr="00C561EE">
        <w:rPr>
          <w:rFonts w:cstheme="minorHAnsi"/>
          <w:bCs/>
          <w:lang w:val="en-US"/>
        </w:rPr>
        <w:t xml:space="preserve"> of FX and Investment financial instruments in TMS</w:t>
      </w:r>
      <w:r w:rsidRPr="00C561EE">
        <w:rPr>
          <w:rFonts w:cstheme="minorHAnsi"/>
          <w:bCs/>
          <w:lang w:val="en-US"/>
        </w:rPr>
        <w:t>.</w:t>
      </w:r>
    </w:p>
    <w:p w14:paraId="2C1C9B2D" w14:textId="730CB805" w:rsidR="00FE2383" w:rsidRPr="00C04465" w:rsidRDefault="00E64722" w:rsidP="00FE2383">
      <w:pPr>
        <w:pStyle w:val="ListParagraph"/>
        <w:numPr>
          <w:ilvl w:val="0"/>
          <w:numId w:val="1"/>
        </w:numPr>
        <w:jc w:val="both"/>
        <w:rPr>
          <w:rFonts w:cstheme="minorHAnsi"/>
          <w:bCs/>
          <w:lang w:val="en-US"/>
        </w:rPr>
      </w:pPr>
      <w:r w:rsidRPr="00C04465">
        <w:rPr>
          <w:rFonts w:cstheme="minorHAnsi"/>
          <w:bCs/>
          <w:lang w:val="en-US"/>
        </w:rPr>
        <w:lastRenderedPageBreak/>
        <w:t>Entering and maintaining the counterparty financial institutions’ settlement instructions and banking information</w:t>
      </w:r>
      <w:r w:rsidR="008B59CE" w:rsidRPr="00C04465">
        <w:rPr>
          <w:rFonts w:cstheme="minorHAnsi"/>
          <w:bCs/>
          <w:lang w:val="en-US"/>
        </w:rPr>
        <w:t xml:space="preserve"> in TMS.</w:t>
      </w:r>
    </w:p>
    <w:p w14:paraId="6079C7B7" w14:textId="1282BF63" w:rsidR="00FE2383" w:rsidRPr="00C04465" w:rsidRDefault="008B59CE" w:rsidP="00FE2383">
      <w:pPr>
        <w:pStyle w:val="ListParagraph"/>
        <w:numPr>
          <w:ilvl w:val="0"/>
          <w:numId w:val="1"/>
        </w:numPr>
        <w:jc w:val="both"/>
        <w:rPr>
          <w:rFonts w:cstheme="minorHAnsi"/>
          <w:bCs/>
          <w:lang w:val="en-US"/>
        </w:rPr>
      </w:pPr>
      <w:r w:rsidRPr="00C04465">
        <w:rPr>
          <w:rFonts w:cstheme="minorHAnsi"/>
          <w:bCs/>
          <w:lang w:val="en-US"/>
        </w:rPr>
        <w:t>Monitoring and analyzing the fund settlements for various Treasury transactions and its generation of accounting entries.</w:t>
      </w:r>
    </w:p>
    <w:p w14:paraId="3AEFA46D" w14:textId="71934E51" w:rsidR="00FE2383" w:rsidRPr="00C04465" w:rsidRDefault="008B59CE" w:rsidP="00FE2383">
      <w:pPr>
        <w:pStyle w:val="ListParagraph"/>
        <w:numPr>
          <w:ilvl w:val="0"/>
          <w:numId w:val="1"/>
        </w:numPr>
        <w:jc w:val="both"/>
        <w:rPr>
          <w:rFonts w:cstheme="minorHAnsi"/>
          <w:bCs/>
          <w:lang w:val="en-US"/>
        </w:rPr>
      </w:pPr>
      <w:r w:rsidRPr="00C04465">
        <w:rPr>
          <w:rFonts w:cstheme="minorHAnsi"/>
          <w:bCs/>
          <w:lang w:val="en-US"/>
        </w:rPr>
        <w:t xml:space="preserve">Conducting the cash flow forecasting and data maintenance for robust cash flow analysis for just in time FX and field bank account replenishments as well as the investment transactions. </w:t>
      </w:r>
    </w:p>
    <w:p w14:paraId="1683C77C" w14:textId="707F65EF" w:rsidR="00FE2383" w:rsidRPr="00C04465" w:rsidRDefault="006042DF" w:rsidP="00FE2383">
      <w:pPr>
        <w:pStyle w:val="ListParagraph"/>
        <w:numPr>
          <w:ilvl w:val="0"/>
          <w:numId w:val="1"/>
        </w:numPr>
        <w:jc w:val="both"/>
        <w:rPr>
          <w:rFonts w:cstheme="minorHAnsi"/>
          <w:bCs/>
          <w:lang w:val="en-US"/>
        </w:rPr>
      </w:pPr>
      <w:r w:rsidRPr="00C04465">
        <w:rPr>
          <w:rFonts w:cstheme="minorHAnsi"/>
          <w:bCs/>
          <w:lang w:val="en-US"/>
        </w:rPr>
        <w:t xml:space="preserve">Monitor for any errors and delays in entries into TMS and ERP systems and liaise with IT and functional team for follow up and </w:t>
      </w:r>
      <w:r w:rsidR="00B174FA" w:rsidRPr="00C04465">
        <w:rPr>
          <w:rFonts w:cstheme="minorHAnsi"/>
          <w:bCs/>
          <w:lang w:val="en-US"/>
        </w:rPr>
        <w:t>remedies</w:t>
      </w:r>
      <w:r w:rsidRPr="00C04465">
        <w:rPr>
          <w:rFonts w:cstheme="minorHAnsi"/>
          <w:bCs/>
          <w:lang w:val="en-US"/>
        </w:rPr>
        <w:t>.</w:t>
      </w:r>
    </w:p>
    <w:p w14:paraId="3ED877BD" w14:textId="77777777" w:rsidR="00FE2383" w:rsidRPr="00C04465" w:rsidRDefault="00FE2383" w:rsidP="006D01D1">
      <w:pPr>
        <w:jc w:val="both"/>
        <w:rPr>
          <w:rFonts w:ascii="Arial" w:hAnsi="Arial" w:cs="Arial"/>
          <w:b/>
          <w:lang w:val="en-US"/>
        </w:rPr>
      </w:pPr>
    </w:p>
    <w:p w14:paraId="43869050" w14:textId="3B223998" w:rsidR="00F33E4D" w:rsidRPr="00C04465" w:rsidRDefault="00F33E4D" w:rsidP="00F33E4D">
      <w:pPr>
        <w:jc w:val="both"/>
        <w:rPr>
          <w:rFonts w:ascii="Arial" w:hAnsi="Arial" w:cs="Arial"/>
          <w:b/>
          <w:lang w:val="en-US"/>
        </w:rPr>
      </w:pPr>
      <w:r w:rsidRPr="00C04465">
        <w:rPr>
          <w:rFonts w:ascii="Arial" w:hAnsi="Arial" w:cs="Arial"/>
          <w:b/>
          <w:lang w:val="en-US"/>
        </w:rPr>
        <w:t xml:space="preserve">Minimum qualifications required </w:t>
      </w:r>
    </w:p>
    <w:p w14:paraId="1C5B3717" w14:textId="655FDA1B" w:rsidR="00F33E4D" w:rsidRPr="00C04465" w:rsidRDefault="00061D42" w:rsidP="00F33E4D">
      <w:pPr>
        <w:pStyle w:val="ListParagraph"/>
        <w:numPr>
          <w:ilvl w:val="0"/>
          <w:numId w:val="3"/>
        </w:numPr>
        <w:spacing w:line="254" w:lineRule="auto"/>
        <w:jc w:val="both"/>
        <w:rPr>
          <w:rFonts w:cstheme="minorHAnsi"/>
          <w:bCs/>
          <w:lang w:val="en-US"/>
        </w:rPr>
      </w:pPr>
      <w:r w:rsidRPr="00C04465">
        <w:rPr>
          <w:rFonts w:cstheme="minorHAnsi"/>
          <w:bCs/>
          <w:lang w:val="en-US"/>
        </w:rPr>
        <w:t>Computer and IT literacy to be able to work with MS Excel, WORD</w:t>
      </w:r>
    </w:p>
    <w:p w14:paraId="725D21A7" w14:textId="74D964ED" w:rsidR="00F33E4D" w:rsidRPr="00C04465" w:rsidRDefault="00061D42" w:rsidP="00F33E4D">
      <w:pPr>
        <w:pStyle w:val="ListParagraph"/>
        <w:numPr>
          <w:ilvl w:val="0"/>
          <w:numId w:val="3"/>
        </w:numPr>
        <w:spacing w:line="254" w:lineRule="auto"/>
        <w:jc w:val="both"/>
        <w:rPr>
          <w:rFonts w:cstheme="minorHAnsi"/>
          <w:bCs/>
          <w:lang w:val="en-US"/>
        </w:rPr>
      </w:pPr>
      <w:r w:rsidRPr="00C04465">
        <w:rPr>
          <w:rFonts w:cstheme="minorHAnsi"/>
          <w:bCs/>
          <w:lang w:val="en-US"/>
        </w:rPr>
        <w:t>Basic knowledge of Foreign Exchange, Investments, and Banking</w:t>
      </w:r>
    </w:p>
    <w:p w14:paraId="11765B10" w14:textId="609A9A82" w:rsidR="00FE2383" w:rsidRDefault="00234056" w:rsidP="00FE2383">
      <w:pPr>
        <w:pStyle w:val="ListParagraph"/>
        <w:numPr>
          <w:ilvl w:val="0"/>
          <w:numId w:val="3"/>
        </w:numPr>
        <w:spacing w:line="254" w:lineRule="auto"/>
        <w:jc w:val="both"/>
        <w:rPr>
          <w:rFonts w:cstheme="minorHAnsi"/>
          <w:bCs/>
          <w:lang w:val="en-US"/>
        </w:rPr>
      </w:pPr>
      <w:r w:rsidRPr="00C04465">
        <w:rPr>
          <w:rFonts w:cstheme="minorHAnsi"/>
          <w:bCs/>
          <w:lang w:val="en-US"/>
        </w:rPr>
        <w:t>Proficiency in English, including oral and written communication skills</w:t>
      </w:r>
    </w:p>
    <w:p w14:paraId="262654EE" w14:textId="77777777" w:rsidR="00C04465" w:rsidRPr="00C04465" w:rsidRDefault="00C04465" w:rsidP="00C04465">
      <w:pPr>
        <w:pStyle w:val="ListParagraph"/>
        <w:spacing w:line="254" w:lineRule="auto"/>
        <w:jc w:val="both"/>
        <w:rPr>
          <w:rFonts w:cstheme="minorHAnsi"/>
          <w:bCs/>
          <w:lang w:val="en-US"/>
        </w:rPr>
      </w:pPr>
    </w:p>
    <w:p w14:paraId="2D0CA686" w14:textId="4EC69F40" w:rsidR="00FE2383" w:rsidRPr="00C04465" w:rsidRDefault="00F33E4D" w:rsidP="00FE2383">
      <w:pPr>
        <w:jc w:val="both"/>
        <w:rPr>
          <w:rFonts w:ascii="Arial" w:hAnsi="Arial" w:cs="Arial"/>
          <w:b/>
          <w:lang w:val="en-US"/>
        </w:rPr>
      </w:pPr>
      <w:r w:rsidRPr="00C04465">
        <w:rPr>
          <w:rFonts w:ascii="Arial" w:hAnsi="Arial" w:cs="Arial"/>
          <w:b/>
          <w:lang w:val="en-US"/>
        </w:rPr>
        <w:t>Eligibility</w:t>
      </w:r>
    </w:p>
    <w:p w14:paraId="5112AD8E" w14:textId="77777777" w:rsidR="004D74BF" w:rsidRPr="00C561EE" w:rsidRDefault="004D74BF" w:rsidP="004D74BF">
      <w:pPr>
        <w:jc w:val="both"/>
        <w:rPr>
          <w:rFonts w:cstheme="minorHAnsi"/>
        </w:rPr>
      </w:pPr>
      <w:proofErr w:type="gramStart"/>
      <w:r w:rsidRPr="00C561EE">
        <w:rPr>
          <w:rFonts w:cstheme="minorHAnsi"/>
        </w:rPr>
        <w:t>In order to</w:t>
      </w:r>
      <w:proofErr w:type="gramEnd"/>
      <w:r w:rsidRPr="00C561EE">
        <w:rPr>
          <w:rFonts w:cstheme="minorHAnsi"/>
        </w:rPr>
        <w:t xml:space="preserve"> be considered for an internship, candidates must meet the following eligibility criteria:</w:t>
      </w:r>
    </w:p>
    <w:p w14:paraId="54991194" w14:textId="73FEB36A" w:rsidR="004D74BF" w:rsidRPr="00C561EE" w:rsidRDefault="004D74BF" w:rsidP="00F33E4D">
      <w:pPr>
        <w:numPr>
          <w:ilvl w:val="0"/>
          <w:numId w:val="4"/>
        </w:numPr>
        <w:jc w:val="both"/>
        <w:rPr>
          <w:rFonts w:cstheme="minorHAnsi"/>
        </w:rPr>
      </w:pPr>
      <w:r w:rsidRPr="00C561EE">
        <w:rPr>
          <w:rFonts w:cstheme="minorHAnsi"/>
        </w:rPr>
        <w:t xml:space="preserve">Recent graduate (those persons who completed their studies within </w:t>
      </w:r>
      <w:r w:rsidR="000D0F05" w:rsidRPr="00C561EE">
        <w:rPr>
          <w:rFonts w:cstheme="minorHAnsi"/>
        </w:rPr>
        <w:t>two</w:t>
      </w:r>
      <w:r w:rsidRPr="00C561EE">
        <w:rPr>
          <w:rFonts w:cstheme="minorHAnsi"/>
        </w:rPr>
        <w:t xml:space="preserve"> year</w:t>
      </w:r>
      <w:r w:rsidR="000D0F05" w:rsidRPr="00C561EE">
        <w:rPr>
          <w:rFonts w:cstheme="minorHAnsi"/>
        </w:rPr>
        <w:t>s</w:t>
      </w:r>
      <w:r w:rsidRPr="00C561EE">
        <w:rPr>
          <w:rFonts w:cstheme="minorHAnsi"/>
        </w:rPr>
        <w:t xml:space="preserve"> of applying)</w:t>
      </w:r>
      <w:r w:rsidR="00D74AB1" w:rsidRPr="00C561EE">
        <w:rPr>
          <w:rFonts w:cstheme="minorHAnsi"/>
        </w:rPr>
        <w:t xml:space="preserve"> </w:t>
      </w:r>
      <w:r w:rsidRPr="00C561EE">
        <w:rPr>
          <w:rFonts w:cstheme="minorHAnsi"/>
        </w:rPr>
        <w:t>or current student in a graduate/undergraduate school programme from a university or higher education facility accredited by UNESCO; and</w:t>
      </w:r>
    </w:p>
    <w:p w14:paraId="1AAD64AD" w14:textId="76762EBB" w:rsidR="009E0061" w:rsidRPr="00C561EE" w:rsidRDefault="004D74BF" w:rsidP="009E0061">
      <w:pPr>
        <w:numPr>
          <w:ilvl w:val="0"/>
          <w:numId w:val="4"/>
        </w:numPr>
        <w:jc w:val="both"/>
        <w:rPr>
          <w:rFonts w:cstheme="minorHAnsi"/>
        </w:rPr>
      </w:pPr>
      <w:r w:rsidRPr="00C561EE">
        <w:rPr>
          <w:rFonts w:cstheme="minorHAnsi"/>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w:t>
      </w:r>
      <w:r w:rsidRPr="009E0061">
        <w:rPr>
          <w:rFonts w:ascii="Arial" w:hAnsi="Arial" w:cs="Arial"/>
        </w:rPr>
        <w:lastRenderedPageBreak/>
        <w:t xml:space="preserve">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62EB" w14:textId="77777777" w:rsidR="00604EFF" w:rsidRDefault="00604EFF" w:rsidP="004D206F">
      <w:pPr>
        <w:spacing w:after="0" w:line="240" w:lineRule="auto"/>
      </w:pPr>
      <w:r>
        <w:separator/>
      </w:r>
    </w:p>
  </w:endnote>
  <w:endnote w:type="continuationSeparator" w:id="0">
    <w:p w14:paraId="4670BC98" w14:textId="77777777" w:rsidR="00604EFF" w:rsidRDefault="00604EFF" w:rsidP="004D206F">
      <w:pPr>
        <w:spacing w:after="0" w:line="240" w:lineRule="auto"/>
      </w:pPr>
      <w:r>
        <w:continuationSeparator/>
      </w:r>
    </w:p>
  </w:endnote>
  <w:endnote w:type="continuationNotice" w:id="1">
    <w:p w14:paraId="0D5E93D3" w14:textId="77777777" w:rsidR="00604EFF" w:rsidRDefault="00604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8780" w14:textId="77777777" w:rsidR="00604EFF" w:rsidRDefault="00604EFF" w:rsidP="004D206F">
      <w:pPr>
        <w:spacing w:after="0" w:line="240" w:lineRule="auto"/>
      </w:pPr>
      <w:r>
        <w:separator/>
      </w:r>
    </w:p>
  </w:footnote>
  <w:footnote w:type="continuationSeparator" w:id="0">
    <w:p w14:paraId="35F9A446" w14:textId="77777777" w:rsidR="00604EFF" w:rsidRDefault="00604EFF" w:rsidP="004D206F">
      <w:pPr>
        <w:spacing w:after="0" w:line="240" w:lineRule="auto"/>
      </w:pPr>
      <w:r>
        <w:continuationSeparator/>
      </w:r>
    </w:p>
  </w:footnote>
  <w:footnote w:type="continuationNotice" w:id="1">
    <w:p w14:paraId="74F34357" w14:textId="77777777" w:rsidR="00604EFF" w:rsidRDefault="00604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B2C04"/>
    <w:multiLevelType w:val="hybridMultilevel"/>
    <w:tmpl w:val="390E37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91540288">
    <w:abstractNumId w:val="1"/>
  </w:num>
  <w:num w:numId="2" w16cid:durableId="1571311127">
    <w:abstractNumId w:val="2"/>
  </w:num>
  <w:num w:numId="3" w16cid:durableId="27223238">
    <w:abstractNumId w:val="1"/>
  </w:num>
  <w:num w:numId="4" w16cid:durableId="839195823">
    <w:abstractNumId w:val="3"/>
  </w:num>
  <w:num w:numId="5" w16cid:durableId="491331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4621A"/>
    <w:rsid w:val="00061D42"/>
    <w:rsid w:val="000839A7"/>
    <w:rsid w:val="000A0163"/>
    <w:rsid w:val="000A7427"/>
    <w:rsid w:val="000B23F0"/>
    <w:rsid w:val="000D0F05"/>
    <w:rsid w:val="0011042A"/>
    <w:rsid w:val="00120C2B"/>
    <w:rsid w:val="001C5142"/>
    <w:rsid w:val="001D4A58"/>
    <w:rsid w:val="00215159"/>
    <w:rsid w:val="00234056"/>
    <w:rsid w:val="00257390"/>
    <w:rsid w:val="00271219"/>
    <w:rsid w:val="002C0EC3"/>
    <w:rsid w:val="002C340A"/>
    <w:rsid w:val="002C6582"/>
    <w:rsid w:val="002F7634"/>
    <w:rsid w:val="00306F53"/>
    <w:rsid w:val="00310409"/>
    <w:rsid w:val="00312F6A"/>
    <w:rsid w:val="003B02E0"/>
    <w:rsid w:val="00463B38"/>
    <w:rsid w:val="00492C30"/>
    <w:rsid w:val="004C1666"/>
    <w:rsid w:val="004D206F"/>
    <w:rsid w:val="004D74BF"/>
    <w:rsid w:val="005D17B8"/>
    <w:rsid w:val="006042DF"/>
    <w:rsid w:val="00604EFF"/>
    <w:rsid w:val="0062137E"/>
    <w:rsid w:val="0066108A"/>
    <w:rsid w:val="00664DD0"/>
    <w:rsid w:val="006C2D23"/>
    <w:rsid w:val="006D01D1"/>
    <w:rsid w:val="007060FC"/>
    <w:rsid w:val="00721E39"/>
    <w:rsid w:val="00762A55"/>
    <w:rsid w:val="0076752F"/>
    <w:rsid w:val="00787975"/>
    <w:rsid w:val="008137DB"/>
    <w:rsid w:val="0084643F"/>
    <w:rsid w:val="008920F7"/>
    <w:rsid w:val="008B59CE"/>
    <w:rsid w:val="00916691"/>
    <w:rsid w:val="0095652B"/>
    <w:rsid w:val="0097391C"/>
    <w:rsid w:val="00977F7A"/>
    <w:rsid w:val="009E0061"/>
    <w:rsid w:val="00A41AB6"/>
    <w:rsid w:val="00A47461"/>
    <w:rsid w:val="00AA0D5B"/>
    <w:rsid w:val="00AA6094"/>
    <w:rsid w:val="00B174FA"/>
    <w:rsid w:val="00B21E51"/>
    <w:rsid w:val="00B62207"/>
    <w:rsid w:val="00B94EED"/>
    <w:rsid w:val="00BA2CB4"/>
    <w:rsid w:val="00BA61C0"/>
    <w:rsid w:val="00BD4D41"/>
    <w:rsid w:val="00BE12D6"/>
    <w:rsid w:val="00BF2CDC"/>
    <w:rsid w:val="00C04465"/>
    <w:rsid w:val="00C1441A"/>
    <w:rsid w:val="00C3511D"/>
    <w:rsid w:val="00C561EE"/>
    <w:rsid w:val="00C56270"/>
    <w:rsid w:val="00C5668D"/>
    <w:rsid w:val="00C62ED6"/>
    <w:rsid w:val="00C63C6C"/>
    <w:rsid w:val="00CF4877"/>
    <w:rsid w:val="00D03556"/>
    <w:rsid w:val="00D27CA6"/>
    <w:rsid w:val="00D60350"/>
    <w:rsid w:val="00D653ED"/>
    <w:rsid w:val="00D72AD9"/>
    <w:rsid w:val="00D7312B"/>
    <w:rsid w:val="00D74AB1"/>
    <w:rsid w:val="00DC290F"/>
    <w:rsid w:val="00DE4C2D"/>
    <w:rsid w:val="00E64722"/>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290479717">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37</cp:revision>
  <dcterms:created xsi:type="dcterms:W3CDTF">2023-02-16T17:18:00Z</dcterms:created>
  <dcterms:modified xsi:type="dcterms:W3CDTF">2023-03-09T15:22:00Z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