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5B99572" w14:textId="7BA71A37" w:rsidR="002F3891" w:rsidRDefault="002F3891" w:rsidP="002F3891">
      <w:pPr>
        <w:pStyle w:val="Header"/>
        <w:jc w:val="both"/>
        <w:rPr>
          <w:rFonts w:asciiTheme="minorHAnsi" w:hAnsiTheme="minorHAnsi" w:cs="Arial"/>
          <w:sz w:val="20"/>
        </w:rPr>
      </w:pPr>
    </w:p>
    <w:p w14:paraId="54A5AE15" w14:textId="73145070" w:rsidR="002F3891" w:rsidRDefault="002F3891" w:rsidP="002F3891">
      <w:pPr>
        <w:pStyle w:val="Header"/>
        <w:jc w:val="both"/>
        <w:rPr>
          <w:rFonts w:asciiTheme="minorHAnsi" w:hAnsiTheme="minorHAnsi" w:cs="Arial"/>
          <w:sz w:val="20"/>
        </w:rPr>
      </w:pPr>
    </w:p>
    <w:p w14:paraId="4FCC2480" w14:textId="77777777" w:rsidR="002F3891" w:rsidRPr="002F3891" w:rsidRDefault="002F3891" w:rsidP="002F3891">
      <w:pPr>
        <w:spacing w:after="11" w:line="249" w:lineRule="auto"/>
        <w:ind w:left="10" w:right="62" w:hanging="10"/>
        <w:jc w:val="both"/>
        <w:rPr>
          <w:rFonts w:ascii="Calibri" w:eastAsia="Calibri" w:hAnsi="Calibri" w:cs="Arial"/>
          <w:b/>
          <w:caps/>
          <w:color w:val="000000"/>
          <w:sz w:val="24"/>
          <w:szCs w:val="22"/>
          <w:lang w:val="en-GB"/>
        </w:rPr>
      </w:pPr>
      <w:r w:rsidRPr="002F3891">
        <w:rPr>
          <w:rFonts w:ascii="Calibri" w:eastAsia="Calibri" w:hAnsi="Calibri" w:cs="Arial"/>
          <w:b/>
          <w:caps/>
          <w:color w:val="000000"/>
          <w:sz w:val="24"/>
          <w:szCs w:val="22"/>
          <w:lang w:val="en-GB"/>
        </w:rPr>
        <w:t>I. Identification of the post</w:t>
      </w:r>
    </w:p>
    <w:p w14:paraId="65A13151"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p>
    <w:p w14:paraId="73EDE310" w14:textId="7CC85281"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 xml:space="preserve">Title: </w:t>
      </w:r>
      <w:r w:rsidR="00A46E10">
        <w:rPr>
          <w:rFonts w:ascii="Calibri" w:eastAsia="Calibri" w:hAnsi="Calibri" w:cs="Arial"/>
          <w:color w:val="000000"/>
          <w:sz w:val="24"/>
          <w:szCs w:val="22"/>
          <w:lang w:val="en-GB"/>
        </w:rPr>
        <w:t>Intern</w:t>
      </w:r>
      <w:r w:rsidRPr="002F3891">
        <w:rPr>
          <w:rFonts w:ascii="Calibri" w:eastAsia="Calibri" w:hAnsi="Calibri" w:cs="Arial"/>
          <w:color w:val="000000"/>
          <w:sz w:val="24"/>
          <w:szCs w:val="22"/>
          <w:lang w:val="en-GB"/>
        </w:rPr>
        <w:tab/>
      </w:r>
      <w:r w:rsidRPr="002F3891">
        <w:rPr>
          <w:rFonts w:ascii="Calibri" w:eastAsia="Calibri" w:hAnsi="Calibri" w:cs="Arial"/>
          <w:color w:val="000000"/>
          <w:sz w:val="24"/>
          <w:szCs w:val="22"/>
          <w:lang w:val="en-GB"/>
        </w:rPr>
        <w:tab/>
      </w:r>
      <w:r w:rsidRPr="002F3891">
        <w:rPr>
          <w:rFonts w:ascii="Calibri" w:eastAsia="Calibri" w:hAnsi="Calibri" w:cs="Arial"/>
          <w:color w:val="000000"/>
          <w:sz w:val="24"/>
          <w:szCs w:val="22"/>
          <w:lang w:val="en-GB"/>
        </w:rPr>
        <w:tab/>
      </w:r>
    </w:p>
    <w:p w14:paraId="082CD992" w14:textId="2AA4C2EB" w:rsidR="002F3891" w:rsidRPr="002F3891" w:rsidRDefault="002F3891" w:rsidP="002F3891">
      <w:pPr>
        <w:spacing w:after="11" w:line="249" w:lineRule="auto"/>
        <w:ind w:left="10" w:right="62" w:hanging="10"/>
        <w:jc w:val="both"/>
        <w:rPr>
          <w:rFonts w:ascii="Calibri" w:eastAsia="Times New Roman" w:hAnsi="Calibri" w:cs="Calibri"/>
          <w:color w:val="000000"/>
          <w:sz w:val="24"/>
          <w:szCs w:val="24"/>
          <w:lang w:eastAsia="zh-CN"/>
        </w:rPr>
      </w:pPr>
      <w:r w:rsidRPr="002F3891">
        <w:rPr>
          <w:rFonts w:ascii="Calibri" w:eastAsia="Calibri" w:hAnsi="Calibri" w:cs="Arial"/>
          <w:color w:val="000000"/>
          <w:sz w:val="24"/>
          <w:szCs w:val="22"/>
          <w:lang w:val="en-GB"/>
        </w:rPr>
        <w:t>Sector of assignment: SDG Integration /</w:t>
      </w:r>
      <w:r w:rsidR="00A46E10">
        <w:rPr>
          <w:rFonts w:ascii="Calibri" w:eastAsia="Calibri" w:hAnsi="Calibri" w:cs="Arial"/>
          <w:color w:val="000000"/>
          <w:sz w:val="24"/>
          <w:szCs w:val="22"/>
          <w:lang w:val="en-GB"/>
        </w:rPr>
        <w:t xml:space="preserve"> </w:t>
      </w:r>
      <w:r w:rsidRPr="002F3891">
        <w:rPr>
          <w:rFonts w:ascii="Calibri" w:eastAsia="Calibri" w:hAnsi="Calibri" w:cs="Arial"/>
          <w:color w:val="000000"/>
          <w:sz w:val="24"/>
          <w:szCs w:val="22"/>
          <w:lang w:val="en-GB"/>
        </w:rPr>
        <w:t xml:space="preserve">South-South and triangular cooperation (SSTC) </w:t>
      </w:r>
    </w:p>
    <w:p w14:paraId="3BA37A26"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Organizational unit:</w:t>
      </w:r>
      <w:r w:rsidRPr="002F3891">
        <w:rPr>
          <w:rFonts w:ascii="Calibri" w:eastAsia="Calibri" w:hAnsi="Calibri" w:cs="Calibri"/>
          <w:color w:val="000000"/>
          <w:sz w:val="24"/>
          <w:szCs w:val="22"/>
        </w:rPr>
        <w:t xml:space="preserve"> </w:t>
      </w:r>
      <w:r w:rsidRPr="002F3891">
        <w:rPr>
          <w:rFonts w:ascii="Calibri" w:eastAsia="Calibri" w:hAnsi="Calibri" w:cs="Arial"/>
          <w:color w:val="000000"/>
          <w:sz w:val="24"/>
          <w:szCs w:val="22"/>
          <w:lang w:val="en-GB"/>
        </w:rPr>
        <w:t xml:space="preserve">United Nations Development Programme </w:t>
      </w:r>
      <w:r w:rsidRPr="002F3891">
        <w:rPr>
          <w:rFonts w:ascii="Calibri" w:eastAsia="Calibri" w:hAnsi="Calibri" w:cs="Arial"/>
          <w:color w:val="000000"/>
          <w:sz w:val="24"/>
          <w:szCs w:val="22"/>
          <w:lang w:val="en-GB"/>
        </w:rPr>
        <w:tab/>
        <w:t xml:space="preserve"> </w:t>
      </w:r>
      <w:r w:rsidRPr="002F3891">
        <w:rPr>
          <w:rFonts w:ascii="Calibri" w:eastAsia="Calibri" w:hAnsi="Calibri" w:cs="Arial"/>
          <w:color w:val="000000"/>
          <w:sz w:val="24"/>
          <w:szCs w:val="22"/>
          <w:lang w:val="en-GB"/>
        </w:rPr>
        <w:tab/>
      </w:r>
    </w:p>
    <w:p w14:paraId="0991E1EB"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rPr>
      </w:pPr>
      <w:r w:rsidRPr="002F3891">
        <w:rPr>
          <w:rFonts w:ascii="Calibri" w:eastAsia="Calibri" w:hAnsi="Calibri" w:cs="Arial"/>
          <w:color w:val="000000"/>
          <w:sz w:val="24"/>
          <w:szCs w:val="22"/>
          <w:lang w:val="en-GB"/>
        </w:rPr>
        <w:t>Country and Duty Station</w:t>
      </w:r>
      <w:r w:rsidRPr="002F3891">
        <w:rPr>
          <w:rFonts w:ascii="Calibri" w:eastAsia="Calibri" w:hAnsi="Calibri" w:cs="Arial"/>
          <w:color w:val="000000"/>
          <w:sz w:val="24"/>
          <w:szCs w:val="22"/>
        </w:rPr>
        <w:t>: United States of America, New York HQ</w:t>
      </w:r>
      <w:r w:rsidRPr="002F3891">
        <w:rPr>
          <w:rFonts w:ascii="Calibri" w:eastAsia="Calibri" w:hAnsi="Calibri" w:cs="Arial"/>
          <w:color w:val="000000"/>
          <w:sz w:val="24"/>
          <w:szCs w:val="22"/>
        </w:rPr>
        <w:tab/>
      </w:r>
    </w:p>
    <w:p w14:paraId="3C94AD3E"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Expected duration: 9 months</w:t>
      </w:r>
    </w:p>
    <w:p w14:paraId="2EC6F832"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Expected starting date: TBC, ideally by 1 September 2023</w:t>
      </w:r>
    </w:p>
    <w:p w14:paraId="222C5362"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Supervisor’s name: Juliana Gargiulo</w:t>
      </w:r>
      <w:r w:rsidRPr="002F3891">
        <w:rPr>
          <w:rFonts w:ascii="Calibri" w:eastAsia="Calibri" w:hAnsi="Calibri" w:cs="Arial"/>
          <w:color w:val="000000"/>
          <w:sz w:val="24"/>
          <w:szCs w:val="22"/>
          <w:lang w:val="en-GB"/>
        </w:rPr>
        <w:tab/>
      </w:r>
      <w:r w:rsidRPr="002F3891">
        <w:rPr>
          <w:rFonts w:ascii="Calibri" w:eastAsia="Calibri" w:hAnsi="Calibri" w:cs="Arial"/>
          <w:color w:val="000000"/>
          <w:sz w:val="24"/>
          <w:szCs w:val="22"/>
          <w:lang w:val="en-GB"/>
        </w:rPr>
        <w:tab/>
      </w:r>
    </w:p>
    <w:p w14:paraId="19879971"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 xml:space="preserve">Supervisor’s title: Policy Specialist </w:t>
      </w:r>
    </w:p>
    <w:p w14:paraId="0216386E"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ab/>
      </w:r>
      <w:r w:rsidRPr="002F3891">
        <w:rPr>
          <w:rFonts w:ascii="Calibri" w:eastAsia="Calibri" w:hAnsi="Calibri" w:cs="Arial"/>
          <w:color w:val="000000"/>
          <w:sz w:val="24"/>
          <w:szCs w:val="22"/>
          <w:lang w:val="en-GB"/>
        </w:rPr>
        <w:tab/>
      </w:r>
    </w:p>
    <w:p w14:paraId="297F862A"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p>
    <w:p w14:paraId="1C4AC790"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r w:rsidRPr="002F3891">
        <w:rPr>
          <w:rFonts w:ascii="Calibri" w:eastAsia="Calibri" w:hAnsi="Calibri" w:cs="Arial"/>
          <w:b/>
          <w:color w:val="000000"/>
          <w:sz w:val="24"/>
          <w:szCs w:val="22"/>
          <w:lang w:val="en-GB"/>
        </w:rPr>
        <w:t>II. CORPORATE BACKGROUND:</w:t>
      </w:r>
    </w:p>
    <w:p w14:paraId="7BD6A2AB"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rPr>
      </w:pPr>
    </w:p>
    <w:p w14:paraId="742B85A2" w14:textId="77777777" w:rsidR="002F3891" w:rsidRPr="002F3891" w:rsidRDefault="002F3891" w:rsidP="002F3891">
      <w:pPr>
        <w:autoSpaceDE w:val="0"/>
        <w:autoSpaceDN w:val="0"/>
        <w:adjustRightInd w:val="0"/>
        <w:spacing w:after="11" w:line="249" w:lineRule="auto"/>
        <w:ind w:left="10" w:right="62" w:hanging="10"/>
        <w:jc w:val="both"/>
        <w:rPr>
          <w:rFonts w:ascii="Calibri" w:eastAsia="Calibri" w:hAnsi="Calibri" w:cs="Calibri"/>
          <w:color w:val="000000"/>
          <w:sz w:val="24"/>
          <w:szCs w:val="22"/>
          <w:lang w:eastAsia="en-GB"/>
        </w:rPr>
      </w:pPr>
      <w:r w:rsidRPr="002F3891">
        <w:rPr>
          <w:rFonts w:ascii="Calibri" w:eastAsia="Calibri" w:hAnsi="Calibri" w:cs="Calibri"/>
          <w:color w:val="000000"/>
          <w:sz w:val="24"/>
          <w:szCs w:val="22"/>
          <w:lang w:eastAsia="en-GB"/>
        </w:rPr>
        <w:t>UNDP works in about 170 countries and territories, helping to achieve the eradication of poverty, and the reduction of inequalities and exclusion. We help countries to develop policies, leadership skills, partnering abilities, institutional capabilities and build resilience in order to sustain development results.</w:t>
      </w:r>
    </w:p>
    <w:p w14:paraId="44B2A072" w14:textId="77777777" w:rsidR="002F3891" w:rsidRPr="002F3891" w:rsidRDefault="002F3891" w:rsidP="002F3891">
      <w:pPr>
        <w:autoSpaceDE w:val="0"/>
        <w:autoSpaceDN w:val="0"/>
        <w:adjustRightInd w:val="0"/>
        <w:spacing w:after="11" w:line="249" w:lineRule="auto"/>
        <w:ind w:left="10" w:right="62" w:hanging="10"/>
        <w:jc w:val="both"/>
        <w:rPr>
          <w:rFonts w:ascii="Calibri" w:eastAsia="Calibri" w:hAnsi="Calibri" w:cs="Calibri"/>
          <w:color w:val="000000"/>
          <w:sz w:val="24"/>
          <w:szCs w:val="22"/>
          <w:lang w:eastAsia="en-GB"/>
        </w:rPr>
      </w:pPr>
    </w:p>
    <w:p w14:paraId="13C2145A" w14:textId="77777777" w:rsidR="002F3891" w:rsidRPr="002F3891" w:rsidRDefault="002F3891" w:rsidP="002F3891">
      <w:pPr>
        <w:autoSpaceDE w:val="0"/>
        <w:autoSpaceDN w:val="0"/>
        <w:adjustRightInd w:val="0"/>
        <w:spacing w:after="11" w:line="249" w:lineRule="auto"/>
        <w:ind w:left="10" w:right="62" w:hanging="10"/>
        <w:jc w:val="both"/>
        <w:rPr>
          <w:rFonts w:ascii="Calibri" w:eastAsia="Calibri" w:hAnsi="Calibri" w:cs="Calibri"/>
          <w:color w:val="000000"/>
          <w:sz w:val="24"/>
          <w:szCs w:val="22"/>
          <w:lang w:eastAsia="en-GB"/>
        </w:rPr>
      </w:pPr>
      <w:r w:rsidRPr="002F3891">
        <w:rPr>
          <w:rFonts w:ascii="Calibri" w:eastAsia="Calibri" w:hAnsi="Calibri" w:cs="Calibri"/>
          <w:color w:val="000000"/>
          <w:sz w:val="24"/>
          <w:szCs w:val="22"/>
          <w:lang w:eastAsia="en-GB"/>
        </w:rPr>
        <w:t>UNDP is working to strengthen new frameworks for development, disaster risk reduction and climate change. We support countries' efforts to achieve the new Sustainable Development Goals, which will guide global development priorities through 2030. The key 2030 Agenda principle of leaving no one behind and stamping out inequality is at the core of everything we do.</w:t>
      </w:r>
    </w:p>
    <w:p w14:paraId="1793797E" w14:textId="77777777" w:rsidR="002F3891" w:rsidRPr="002F3891" w:rsidRDefault="002F3891" w:rsidP="002F3891">
      <w:pPr>
        <w:autoSpaceDE w:val="0"/>
        <w:autoSpaceDN w:val="0"/>
        <w:adjustRightInd w:val="0"/>
        <w:spacing w:after="11" w:line="249" w:lineRule="auto"/>
        <w:ind w:left="10" w:right="62" w:hanging="10"/>
        <w:jc w:val="both"/>
        <w:rPr>
          <w:rFonts w:ascii="Calibri" w:eastAsia="Calibri" w:hAnsi="Calibri" w:cs="Calibri"/>
          <w:color w:val="000000"/>
          <w:sz w:val="24"/>
          <w:szCs w:val="22"/>
          <w:lang w:eastAsia="en-GB"/>
        </w:rPr>
      </w:pPr>
    </w:p>
    <w:p w14:paraId="0FA8A47A" w14:textId="77777777" w:rsidR="002F3891" w:rsidRPr="002F3891" w:rsidRDefault="002F3891" w:rsidP="002F3891">
      <w:pPr>
        <w:autoSpaceDE w:val="0"/>
        <w:autoSpaceDN w:val="0"/>
        <w:adjustRightInd w:val="0"/>
        <w:spacing w:after="11" w:line="249" w:lineRule="auto"/>
        <w:ind w:left="10" w:right="62" w:hanging="10"/>
        <w:jc w:val="both"/>
        <w:rPr>
          <w:rFonts w:ascii="Calibri" w:eastAsia="Calibri" w:hAnsi="Calibri" w:cs="Calibri"/>
          <w:color w:val="000000"/>
          <w:sz w:val="24"/>
          <w:szCs w:val="22"/>
          <w:lang w:eastAsia="en-GB"/>
        </w:rPr>
      </w:pPr>
      <w:r w:rsidRPr="002F3891">
        <w:rPr>
          <w:rFonts w:ascii="Calibri" w:eastAsia="Calibri" w:hAnsi="Calibri" w:cs="Calibri"/>
          <w:color w:val="000000"/>
          <w:sz w:val="24"/>
          <w:szCs w:val="22"/>
          <w:lang w:eastAsia="en-GB"/>
        </w:rPr>
        <w:t>UNDP focuses on helping countries build and share solutions in three main areas:</w:t>
      </w:r>
    </w:p>
    <w:p w14:paraId="53BA9DA8" w14:textId="77777777" w:rsidR="002F3891" w:rsidRPr="002F3891" w:rsidRDefault="002F3891" w:rsidP="002F3891">
      <w:pPr>
        <w:numPr>
          <w:ilvl w:val="0"/>
          <w:numId w:val="25"/>
        </w:numPr>
        <w:autoSpaceDE w:val="0"/>
        <w:autoSpaceDN w:val="0"/>
        <w:adjustRightInd w:val="0"/>
        <w:contextualSpacing/>
        <w:jc w:val="both"/>
        <w:rPr>
          <w:rFonts w:ascii="Calibri" w:eastAsia="Calibri" w:hAnsi="Calibri" w:cs="Calibri"/>
          <w:color w:val="000000"/>
          <w:sz w:val="24"/>
          <w:szCs w:val="22"/>
          <w:lang w:eastAsia="en-GB"/>
        </w:rPr>
      </w:pPr>
      <w:r w:rsidRPr="002F3891">
        <w:rPr>
          <w:rFonts w:ascii="Calibri" w:eastAsia="Calibri" w:hAnsi="Calibri" w:cs="Calibri"/>
          <w:color w:val="000000"/>
          <w:sz w:val="24"/>
          <w:szCs w:val="22"/>
          <w:lang w:eastAsia="en-GB"/>
        </w:rPr>
        <w:t>Sustainable development</w:t>
      </w:r>
    </w:p>
    <w:p w14:paraId="393F1EDB" w14:textId="77777777" w:rsidR="002F3891" w:rsidRPr="002F3891" w:rsidRDefault="002F3891" w:rsidP="002F3891">
      <w:pPr>
        <w:numPr>
          <w:ilvl w:val="0"/>
          <w:numId w:val="25"/>
        </w:numPr>
        <w:autoSpaceDE w:val="0"/>
        <w:autoSpaceDN w:val="0"/>
        <w:adjustRightInd w:val="0"/>
        <w:contextualSpacing/>
        <w:jc w:val="both"/>
        <w:rPr>
          <w:rFonts w:ascii="Calibri" w:eastAsia="Calibri" w:hAnsi="Calibri" w:cs="Calibri"/>
          <w:color w:val="000000"/>
          <w:sz w:val="24"/>
          <w:szCs w:val="22"/>
          <w:lang w:eastAsia="en-GB"/>
        </w:rPr>
      </w:pPr>
      <w:r w:rsidRPr="002F3891">
        <w:rPr>
          <w:rFonts w:ascii="Calibri" w:eastAsia="Calibri" w:hAnsi="Calibri" w:cs="Calibri"/>
          <w:color w:val="000000"/>
          <w:sz w:val="24"/>
          <w:szCs w:val="22"/>
          <w:lang w:eastAsia="en-GB"/>
        </w:rPr>
        <w:t>Democratic governance and peacebuilding</w:t>
      </w:r>
    </w:p>
    <w:p w14:paraId="458F95D2" w14:textId="77777777" w:rsidR="002F3891" w:rsidRPr="002F3891" w:rsidRDefault="002F3891" w:rsidP="002F3891">
      <w:pPr>
        <w:numPr>
          <w:ilvl w:val="0"/>
          <w:numId w:val="25"/>
        </w:numPr>
        <w:autoSpaceDE w:val="0"/>
        <w:autoSpaceDN w:val="0"/>
        <w:adjustRightInd w:val="0"/>
        <w:contextualSpacing/>
        <w:jc w:val="both"/>
        <w:rPr>
          <w:rFonts w:ascii="Calibri" w:eastAsia="Calibri" w:hAnsi="Calibri" w:cs="Calibri"/>
          <w:color w:val="000000"/>
          <w:sz w:val="24"/>
          <w:szCs w:val="22"/>
          <w:lang w:eastAsia="en-GB"/>
        </w:rPr>
      </w:pPr>
      <w:r w:rsidRPr="002F3891">
        <w:rPr>
          <w:rFonts w:ascii="Calibri" w:eastAsia="Calibri" w:hAnsi="Calibri" w:cs="Calibri"/>
          <w:color w:val="000000"/>
          <w:sz w:val="24"/>
          <w:szCs w:val="22"/>
          <w:lang w:eastAsia="en-GB"/>
        </w:rPr>
        <w:t>Climate and disaster resilience</w:t>
      </w:r>
    </w:p>
    <w:p w14:paraId="30736019" w14:textId="77777777" w:rsidR="002F3891" w:rsidRPr="002F3891" w:rsidRDefault="002F3891" w:rsidP="002F3891">
      <w:pPr>
        <w:autoSpaceDE w:val="0"/>
        <w:autoSpaceDN w:val="0"/>
        <w:adjustRightInd w:val="0"/>
        <w:spacing w:after="11" w:line="249" w:lineRule="auto"/>
        <w:ind w:left="10" w:right="62" w:hanging="10"/>
        <w:jc w:val="both"/>
        <w:rPr>
          <w:rFonts w:ascii="Calibri" w:eastAsia="Calibri" w:hAnsi="Calibri" w:cs="Calibri"/>
          <w:color w:val="000000"/>
          <w:sz w:val="24"/>
          <w:szCs w:val="22"/>
          <w:lang w:eastAsia="en-GB"/>
        </w:rPr>
      </w:pPr>
    </w:p>
    <w:p w14:paraId="553A6B82" w14:textId="77777777" w:rsidR="002F3891" w:rsidRPr="002F3891" w:rsidRDefault="002F3891" w:rsidP="002F3891">
      <w:pPr>
        <w:autoSpaceDE w:val="0"/>
        <w:autoSpaceDN w:val="0"/>
        <w:adjustRightInd w:val="0"/>
        <w:spacing w:after="11" w:line="249" w:lineRule="auto"/>
        <w:ind w:left="10" w:right="62" w:hanging="10"/>
        <w:jc w:val="both"/>
        <w:rPr>
          <w:rFonts w:ascii="Calibri" w:eastAsia="Calibri" w:hAnsi="Calibri" w:cs="Calibri"/>
          <w:color w:val="000000"/>
          <w:sz w:val="24"/>
          <w:szCs w:val="22"/>
          <w:lang w:eastAsia="en-GB"/>
        </w:rPr>
      </w:pPr>
      <w:r w:rsidRPr="002F3891">
        <w:rPr>
          <w:rFonts w:ascii="Calibri" w:eastAsia="Calibri" w:hAnsi="Calibri" w:cs="Calibri"/>
          <w:color w:val="000000"/>
          <w:sz w:val="24"/>
          <w:szCs w:val="22"/>
          <w:lang w:eastAsia="en-GB"/>
        </w:rPr>
        <w:t>In all our activities, we encourage the protection of human rights and the empowerment of women, minorities and the poorest and most vulnerable.</w:t>
      </w:r>
    </w:p>
    <w:p w14:paraId="3D3B3E8E"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p>
    <w:p w14:paraId="24DBAFBE"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p>
    <w:p w14:paraId="1AF1E3EB"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r w:rsidRPr="002F3891">
        <w:rPr>
          <w:rFonts w:ascii="Calibri" w:eastAsia="Calibri" w:hAnsi="Calibri" w:cs="Arial"/>
          <w:b/>
          <w:color w:val="000000"/>
          <w:sz w:val="24"/>
          <w:szCs w:val="22"/>
          <w:lang w:val="en-GB"/>
        </w:rPr>
        <w:lastRenderedPageBreak/>
        <w:t xml:space="preserve">III. RECEIVING OFFICE BACKGROUND: </w:t>
      </w:r>
    </w:p>
    <w:p w14:paraId="4CC16452"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p>
    <w:p w14:paraId="32326F3D" w14:textId="77777777" w:rsidR="002F3891" w:rsidRPr="002F3891" w:rsidRDefault="002F3891" w:rsidP="002F3891">
      <w:pPr>
        <w:spacing w:after="11" w:line="249" w:lineRule="auto"/>
        <w:ind w:left="10" w:right="62" w:hanging="10"/>
        <w:jc w:val="both"/>
        <w:rPr>
          <w:rFonts w:ascii="Calibri" w:eastAsia="Calibri" w:hAnsi="Calibri" w:cs="Arial"/>
          <w:bCs/>
          <w:color w:val="000000"/>
          <w:sz w:val="24"/>
          <w:szCs w:val="22"/>
        </w:rPr>
      </w:pPr>
      <w:r w:rsidRPr="002F3891">
        <w:rPr>
          <w:rFonts w:ascii="Calibri" w:eastAsia="Calibri" w:hAnsi="Calibri" w:cs="Arial"/>
          <w:bCs/>
          <w:color w:val="000000"/>
          <w:sz w:val="24"/>
          <w:szCs w:val="22"/>
        </w:rPr>
        <w:t>UNDP’s Global Policy Network (GPN) has the responsibility for developing all relevant policy and guidance to support the results of UNDP’s Strategic Plan. The GPN assists UNDP and its partners to achieve higher quality development results through an integrated approach that links results-based management and performance monitoring with more effective and new ways of working. The GPN also supports UNDP and partners to be more innovative, knowledge and data-driven, including in its programme support efforts.</w:t>
      </w:r>
    </w:p>
    <w:p w14:paraId="53E23BA5" w14:textId="77777777" w:rsidR="002F3891" w:rsidRPr="002F3891" w:rsidRDefault="002F3891" w:rsidP="002F3891">
      <w:pPr>
        <w:spacing w:after="11" w:line="249" w:lineRule="auto"/>
        <w:ind w:left="10" w:right="62" w:hanging="10"/>
        <w:jc w:val="both"/>
        <w:rPr>
          <w:rFonts w:ascii="Calibri" w:eastAsia="Calibri" w:hAnsi="Calibri" w:cs="Arial"/>
          <w:bCs/>
          <w:color w:val="000000"/>
          <w:sz w:val="24"/>
          <w:szCs w:val="22"/>
        </w:rPr>
      </w:pPr>
    </w:p>
    <w:p w14:paraId="29170388" w14:textId="77777777" w:rsidR="002F3891" w:rsidRPr="002F3891" w:rsidRDefault="002F3891" w:rsidP="002F3891">
      <w:pPr>
        <w:spacing w:after="11" w:line="249" w:lineRule="auto"/>
        <w:ind w:left="10" w:right="62" w:hanging="10"/>
        <w:jc w:val="both"/>
        <w:rPr>
          <w:rFonts w:ascii="Calibri" w:eastAsia="Calibri" w:hAnsi="Calibri" w:cs="Arial"/>
          <w:bCs/>
          <w:color w:val="000000"/>
          <w:sz w:val="24"/>
          <w:szCs w:val="22"/>
        </w:rPr>
      </w:pPr>
      <w:r w:rsidRPr="002F3891">
        <w:rPr>
          <w:rFonts w:ascii="Calibri" w:eastAsia="Calibri" w:hAnsi="Calibri" w:cs="Arial"/>
          <w:bCs/>
          <w:color w:val="000000"/>
          <w:sz w:val="24"/>
          <w:szCs w:val="22"/>
        </w:rPr>
        <w:t>The SDG integration team (SDGi team) within the Bureau for Policy and Programme Support (BPPS) facilitates the delivery of an effective integration offer to countries and the UN Development System, being SSTC part of this offer, leveraging substantive connections across teams and approaches to complex challenges, leading a new way of working across UNDP’s flagship initiatives, workstreams and capacities. SDG Integration brings together colleagues globally to brainstorm ideas and concepts, co-design integrated policy solutions, and share lessons across a range of issues related to integrated approaches to sustainable development: from the latest thinking and experiences of digital, and comparative experiences in SDG financing, to cutting edge innovations that are driving acceleration and address gaps, backed by data driven and evidenced based approaches. The SSTC Team of the SDG Integration works to achieve an increased scale of UNDP’s interventions through SSTC, by articulating the direction of UNDP’s work in SSTC, developing UNDP’s SSTC policy, guidance and programme offer, contributing to increased research and analysis on SSTC, being an active member of the SSTC Inter-agency mechanism led by the UN Office for South-South Cooperation (UNOSSC), and fostering engagement and mutual learning across all levels within UNDP on SSTC.</w:t>
      </w:r>
    </w:p>
    <w:p w14:paraId="72EF4308" w14:textId="77777777" w:rsidR="002F3891" w:rsidRPr="002F3891" w:rsidRDefault="002F3891" w:rsidP="002F3891">
      <w:pPr>
        <w:spacing w:after="11" w:line="249" w:lineRule="auto"/>
        <w:ind w:right="62"/>
        <w:jc w:val="both"/>
        <w:rPr>
          <w:rFonts w:ascii="Calibri" w:eastAsia="Calibri" w:hAnsi="Calibri" w:cs="Arial"/>
          <w:bCs/>
          <w:color w:val="000000"/>
          <w:sz w:val="24"/>
          <w:szCs w:val="22"/>
        </w:rPr>
      </w:pPr>
    </w:p>
    <w:p w14:paraId="5FEB86CF" w14:textId="77777777" w:rsidR="002F3891" w:rsidRPr="002F3891" w:rsidRDefault="002F3891" w:rsidP="002F3891">
      <w:pPr>
        <w:spacing w:after="11" w:line="249" w:lineRule="auto"/>
        <w:ind w:left="10" w:right="62" w:hanging="10"/>
        <w:jc w:val="both"/>
        <w:rPr>
          <w:rFonts w:ascii="Calibri" w:eastAsia="Calibri" w:hAnsi="Calibri" w:cs="Arial"/>
          <w:bCs/>
          <w:color w:val="000000"/>
          <w:sz w:val="24"/>
          <w:szCs w:val="22"/>
        </w:rPr>
      </w:pPr>
      <w:r w:rsidRPr="002F3891">
        <w:rPr>
          <w:rFonts w:ascii="Calibri" w:eastAsia="Calibri" w:hAnsi="Calibri" w:cs="Calibri"/>
          <w:color w:val="000000"/>
          <w:sz w:val="24"/>
          <w:szCs w:val="22"/>
        </w:rPr>
        <w:t xml:space="preserve">Under SDG Integration (SDGi), the SSTC team has a substantive role in ensuring that UNDP’s programmes and projects are informed by and leverage SSTC as a fundamental approach to development cooperation and one of enablers for achieving the SDGs and sustainable development. </w:t>
      </w:r>
    </w:p>
    <w:p w14:paraId="699FAB9B" w14:textId="77777777" w:rsidR="002F3891" w:rsidRPr="002F3891" w:rsidRDefault="002F3891" w:rsidP="002F3891">
      <w:pPr>
        <w:jc w:val="both"/>
        <w:textAlignment w:val="baseline"/>
        <w:rPr>
          <w:rFonts w:ascii="Calibri" w:eastAsia="Times New Roman" w:hAnsi="Calibri" w:cs="Calibri"/>
          <w:lang w:eastAsia="zh-CN"/>
        </w:rPr>
      </w:pPr>
    </w:p>
    <w:p w14:paraId="2D87558B" w14:textId="77777777" w:rsidR="002F3891" w:rsidRPr="002F3891" w:rsidRDefault="002F3891" w:rsidP="002F3891">
      <w:pPr>
        <w:jc w:val="both"/>
        <w:textAlignment w:val="baseline"/>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 xml:space="preserve">In addition, the team works with UNOSSC as the Joint Secretariat of the </w:t>
      </w:r>
      <w:hyperlink r:id="rId11" w:tgtFrame="_blank" w:history="1">
        <w:r w:rsidRPr="002F3891">
          <w:rPr>
            <w:rFonts w:ascii="Calibri" w:eastAsia="Times New Roman" w:hAnsi="Calibri" w:cs="Calibri"/>
            <w:sz w:val="24"/>
            <w:szCs w:val="24"/>
            <w:lang w:eastAsia="zh-CN"/>
          </w:rPr>
          <w:t xml:space="preserve"> South-South Global Thinkers Network</w:t>
        </w:r>
      </w:hyperlink>
      <w:r w:rsidRPr="002F3891">
        <w:rPr>
          <w:rFonts w:ascii="Calibri" w:eastAsia="Times New Roman" w:hAnsi="Calibri" w:cs="Calibri"/>
          <w:sz w:val="24"/>
          <w:szCs w:val="24"/>
          <w:lang w:eastAsia="zh-CN"/>
        </w:rPr>
        <w:t xml:space="preserve"> through a global project, expanding and deepening the understanding and knowledge of SSTC through stronger partnerships with major think-tank networks and further informing policy making and practice in SSTC through research, analysis and data. Through this collaboration, the team contributes, together with UNOSSC, to advancing UNDP’s thought leadership and sharing of knowledge and solutions.  </w:t>
      </w:r>
    </w:p>
    <w:p w14:paraId="3BE96F1E" w14:textId="77777777" w:rsidR="002F3891" w:rsidRPr="002F3891" w:rsidRDefault="002F3891" w:rsidP="002F3891">
      <w:pPr>
        <w:spacing w:after="11" w:line="249" w:lineRule="auto"/>
        <w:ind w:left="10" w:right="62" w:hanging="10"/>
        <w:jc w:val="both"/>
        <w:rPr>
          <w:rFonts w:ascii="Calibri" w:eastAsia="Calibri" w:hAnsi="Calibri" w:cs="Arial"/>
          <w:bCs/>
          <w:color w:val="000000"/>
          <w:sz w:val="24"/>
          <w:szCs w:val="22"/>
        </w:rPr>
      </w:pPr>
    </w:p>
    <w:p w14:paraId="05589F87"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r w:rsidRPr="002F3891">
        <w:rPr>
          <w:rFonts w:ascii="Calibri" w:eastAsia="Calibri" w:hAnsi="Calibri" w:cs="Arial"/>
          <w:b/>
          <w:color w:val="000000"/>
          <w:sz w:val="24"/>
          <w:szCs w:val="22"/>
          <w:lang w:val="en-GB"/>
        </w:rPr>
        <w:t xml:space="preserve">III. DUTIES: </w:t>
      </w:r>
    </w:p>
    <w:p w14:paraId="33ECB86A"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p>
    <w:p w14:paraId="1B6B8118"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The Intern/Fellow will assist in the following duties and responsibilities:</w:t>
      </w:r>
    </w:p>
    <w:p w14:paraId="06442D3F"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7310"/>
        <w:gridCol w:w="1047"/>
      </w:tblGrid>
      <w:tr w:rsidR="002F3891" w:rsidRPr="002F3891" w14:paraId="7FBA87F1" w14:textId="77777777" w:rsidTr="008B1DFA">
        <w:tc>
          <w:tcPr>
            <w:tcW w:w="510" w:type="dxa"/>
            <w:shd w:val="clear" w:color="auto" w:fill="E6E6E6"/>
          </w:tcPr>
          <w:p w14:paraId="00886DDB"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r w:rsidRPr="002F3891">
              <w:rPr>
                <w:rFonts w:ascii="Calibri" w:eastAsia="Calibri" w:hAnsi="Calibri" w:cs="Arial"/>
                <w:b/>
                <w:color w:val="000000"/>
                <w:sz w:val="24"/>
                <w:szCs w:val="22"/>
                <w:lang w:val="en-GB"/>
              </w:rPr>
              <w:t>No</w:t>
            </w:r>
          </w:p>
        </w:tc>
        <w:tc>
          <w:tcPr>
            <w:tcW w:w="7310" w:type="dxa"/>
            <w:tcBorders>
              <w:bottom w:val="single" w:sz="4" w:space="0" w:color="auto"/>
            </w:tcBorders>
            <w:shd w:val="clear" w:color="auto" w:fill="E6E6E6"/>
          </w:tcPr>
          <w:p w14:paraId="0CEB253B"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r w:rsidRPr="002F3891">
              <w:rPr>
                <w:rFonts w:ascii="Calibri" w:eastAsia="Calibri" w:hAnsi="Calibri" w:cs="Arial"/>
                <w:b/>
                <w:color w:val="000000"/>
                <w:sz w:val="24"/>
                <w:szCs w:val="22"/>
                <w:lang w:val="en-GB"/>
              </w:rPr>
              <w:t>Duties and responsibilities</w:t>
            </w:r>
          </w:p>
        </w:tc>
        <w:tc>
          <w:tcPr>
            <w:tcW w:w="1005" w:type="dxa"/>
            <w:shd w:val="clear" w:color="auto" w:fill="E6E6E6"/>
          </w:tcPr>
          <w:p w14:paraId="34000487"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r w:rsidRPr="002F3891">
              <w:rPr>
                <w:rFonts w:ascii="Calibri" w:eastAsia="Calibri" w:hAnsi="Calibri" w:cs="Arial"/>
                <w:b/>
                <w:color w:val="000000"/>
                <w:sz w:val="24"/>
                <w:szCs w:val="22"/>
                <w:lang w:val="en-GB"/>
              </w:rPr>
              <w:t>% of time</w:t>
            </w:r>
          </w:p>
        </w:tc>
      </w:tr>
      <w:tr w:rsidR="002F3891" w:rsidRPr="002F3891" w14:paraId="0FFBB58D" w14:textId="77777777" w:rsidTr="008B1DFA">
        <w:tc>
          <w:tcPr>
            <w:tcW w:w="510" w:type="dxa"/>
          </w:tcPr>
          <w:p w14:paraId="31FE2964"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1</w:t>
            </w:r>
          </w:p>
        </w:tc>
        <w:tc>
          <w:tcPr>
            <w:tcW w:w="7310" w:type="dxa"/>
          </w:tcPr>
          <w:p w14:paraId="7E86B4B8" w14:textId="77777777" w:rsidR="002F3891" w:rsidRPr="002F3891" w:rsidRDefault="002F3891" w:rsidP="002F3891">
            <w:pPr>
              <w:spacing w:after="11" w:line="249" w:lineRule="auto"/>
              <w:ind w:left="10" w:right="62" w:hanging="10"/>
              <w:jc w:val="both"/>
              <w:rPr>
                <w:rFonts w:ascii="Calibri" w:eastAsia="Calibri" w:hAnsi="Calibri" w:cs="Calibri"/>
                <w:b/>
                <w:bCs/>
                <w:color w:val="000000"/>
                <w:sz w:val="24"/>
                <w:szCs w:val="22"/>
                <w:lang w:val="en-GB"/>
              </w:rPr>
            </w:pPr>
            <w:r w:rsidRPr="002F3891">
              <w:rPr>
                <w:rFonts w:ascii="Calibri" w:eastAsia="Calibri" w:hAnsi="Calibri" w:cs="Calibri"/>
                <w:b/>
                <w:bCs/>
                <w:color w:val="000000"/>
                <w:sz w:val="24"/>
                <w:szCs w:val="22"/>
                <w:lang w:val="en-GB"/>
              </w:rPr>
              <w:t>Knowledge Systematization and Communication</w:t>
            </w:r>
          </w:p>
          <w:p w14:paraId="10CFFD6B" w14:textId="77777777" w:rsidR="002F3891" w:rsidRPr="002F3891" w:rsidRDefault="002F3891" w:rsidP="002F3891">
            <w:pPr>
              <w:numPr>
                <w:ilvl w:val="0"/>
                <w:numId w:val="19"/>
              </w:numPr>
              <w:contextualSpacing/>
              <w:jc w:val="both"/>
              <w:rPr>
                <w:rFonts w:ascii="Calibri" w:eastAsia="Calibri" w:hAnsi="Calibri" w:cs="Calibri"/>
                <w:color w:val="000000"/>
                <w:sz w:val="24"/>
                <w:szCs w:val="22"/>
                <w:lang w:val="en-GB"/>
              </w:rPr>
            </w:pPr>
            <w:r w:rsidRPr="002F3891">
              <w:rPr>
                <w:rFonts w:ascii="Calibri" w:eastAsia="Calibri" w:hAnsi="Calibri" w:cs="Calibri"/>
                <w:color w:val="000000"/>
                <w:sz w:val="24"/>
                <w:szCs w:val="22"/>
                <w:lang w:val="en-GB"/>
              </w:rPr>
              <w:lastRenderedPageBreak/>
              <w:t>Support the mapping of key partners and countries’ priorities, including their good practices and needs on thematic areas;</w:t>
            </w:r>
          </w:p>
          <w:p w14:paraId="1639AE0B" w14:textId="77777777" w:rsidR="002F3891" w:rsidRPr="002F3891" w:rsidRDefault="002F3891" w:rsidP="002F3891">
            <w:pPr>
              <w:numPr>
                <w:ilvl w:val="0"/>
                <w:numId w:val="19"/>
              </w:numPr>
              <w:contextualSpacing/>
              <w:jc w:val="both"/>
              <w:rPr>
                <w:rFonts w:ascii="Calibri" w:eastAsia="Calibri" w:hAnsi="Calibri" w:cs="Calibri"/>
                <w:color w:val="000000"/>
                <w:sz w:val="24"/>
                <w:szCs w:val="22"/>
                <w:lang w:val="en-GB"/>
              </w:rPr>
            </w:pPr>
            <w:r w:rsidRPr="002F3891">
              <w:rPr>
                <w:rFonts w:ascii="Calibri" w:eastAsia="Calibri" w:hAnsi="Calibri" w:cs="Calibri"/>
                <w:color w:val="000000"/>
                <w:sz w:val="24"/>
                <w:szCs w:val="22"/>
                <w:lang w:val="en-GB"/>
              </w:rPr>
              <w:t xml:space="preserve">Act as the day-to-day focal point for the online network on </w:t>
            </w:r>
            <w:r w:rsidRPr="002F3891">
              <w:rPr>
                <w:rFonts w:ascii="Calibri" w:eastAsia="Calibri" w:hAnsi="Calibri" w:cs="Calibri" w:hint="eastAsia"/>
                <w:color w:val="000000"/>
                <w:sz w:val="24"/>
                <w:szCs w:val="22"/>
                <w:lang w:val="en-GB"/>
              </w:rPr>
              <w:t>Sout</w:t>
            </w:r>
            <w:r w:rsidRPr="002F3891">
              <w:rPr>
                <w:rFonts w:ascii="Calibri" w:eastAsia="Calibri" w:hAnsi="Calibri" w:cs="Calibri"/>
                <w:color w:val="000000"/>
                <w:sz w:val="24"/>
                <w:szCs w:val="22"/>
                <w:lang w:val="en-GB"/>
              </w:rPr>
              <w:t>h-</w:t>
            </w:r>
            <w:r w:rsidRPr="002F3891">
              <w:rPr>
                <w:rFonts w:ascii="Calibri" w:eastAsia="Calibri" w:hAnsi="Calibri" w:cs="Calibri" w:hint="eastAsia"/>
                <w:color w:val="000000"/>
                <w:sz w:val="24"/>
                <w:szCs w:val="22"/>
                <w:lang w:val="en-GB"/>
              </w:rPr>
              <w:t>South Triangular Cooperation (SSTC)</w:t>
            </w:r>
            <w:r w:rsidRPr="002F3891">
              <w:rPr>
                <w:rFonts w:ascii="Calibri" w:eastAsia="Calibri" w:hAnsi="Calibri" w:cs="Calibri"/>
                <w:color w:val="000000"/>
                <w:sz w:val="24"/>
                <w:szCs w:val="22"/>
                <w:lang w:val="en-GB"/>
              </w:rPr>
              <w:t xml:space="preserve"> and </w:t>
            </w:r>
            <w:r w:rsidRPr="002F3891">
              <w:rPr>
                <w:rFonts w:ascii="Calibri" w:eastAsia="Calibri" w:hAnsi="Calibri" w:cs="Calibri" w:hint="eastAsia"/>
                <w:color w:val="000000"/>
                <w:sz w:val="24"/>
                <w:szCs w:val="22"/>
                <w:lang w:val="en-GB"/>
              </w:rPr>
              <w:t xml:space="preserve">knowledge-sharing platform for </w:t>
            </w:r>
            <w:r w:rsidRPr="002F3891">
              <w:rPr>
                <w:rFonts w:ascii="Calibri" w:eastAsia="Calibri" w:hAnsi="Calibri" w:cs="Calibri"/>
                <w:color w:val="000000"/>
                <w:sz w:val="24"/>
                <w:szCs w:val="22"/>
                <w:lang w:val="en-GB"/>
              </w:rPr>
              <w:t xml:space="preserve">UNDP’s SSTC </w:t>
            </w:r>
            <w:r w:rsidRPr="002F3891">
              <w:rPr>
                <w:rFonts w:ascii="Calibri" w:eastAsia="Calibri" w:hAnsi="Calibri" w:cs="Calibri" w:hint="eastAsia"/>
                <w:color w:val="000000"/>
                <w:sz w:val="24"/>
                <w:szCs w:val="22"/>
                <w:lang w:val="en-GB"/>
              </w:rPr>
              <w:t xml:space="preserve">practitioners, including through </w:t>
            </w:r>
            <w:r w:rsidRPr="002F3891">
              <w:rPr>
                <w:rFonts w:ascii="Calibri" w:eastAsia="Calibri" w:hAnsi="Calibri" w:cs="Calibri"/>
                <w:color w:val="000000"/>
                <w:sz w:val="24"/>
                <w:szCs w:val="22"/>
                <w:lang w:val="en-GB"/>
              </w:rPr>
              <w:t xml:space="preserve">implementation of the team’s communication engagement plan, social media content creation, drafting of inputs to newsletters, synthesis of success stories and good practices, and posts for different communication channels (e.g. Yammer, South-South Galaxy), etc. </w:t>
            </w:r>
          </w:p>
          <w:p w14:paraId="3DD68A01" w14:textId="77777777" w:rsidR="002F3891" w:rsidRPr="002F3891" w:rsidRDefault="002F3891" w:rsidP="002F3891">
            <w:pPr>
              <w:numPr>
                <w:ilvl w:val="0"/>
                <w:numId w:val="19"/>
              </w:numPr>
              <w:contextualSpacing/>
              <w:jc w:val="both"/>
              <w:rPr>
                <w:rFonts w:ascii="Calibri" w:eastAsia="Calibri" w:hAnsi="Calibri" w:cs="Calibri"/>
                <w:color w:val="000000"/>
                <w:sz w:val="24"/>
                <w:szCs w:val="22"/>
                <w:lang w:val="en-GB"/>
              </w:rPr>
            </w:pPr>
            <w:r w:rsidRPr="002F3891">
              <w:rPr>
                <w:rFonts w:ascii="Calibri" w:eastAsia="Calibri" w:hAnsi="Calibri" w:cs="Calibri"/>
                <w:color w:val="000000"/>
                <w:sz w:val="24"/>
                <w:szCs w:val="22"/>
                <w:lang w:val="en-GB"/>
              </w:rPr>
              <w:t>Support the development of relevant knowledge products and/or tools, in collaboration with relevant colleagues and UNDP Communities of Practice (CoPs) as appropriate, for internal and external purposes (e.g. building capacities in UNDP country offices, external visibility, reporting, etc.).</w:t>
            </w:r>
          </w:p>
          <w:p w14:paraId="6A791011" w14:textId="77777777" w:rsidR="002F3891" w:rsidRPr="002F3891" w:rsidRDefault="002F3891" w:rsidP="002F3891">
            <w:pPr>
              <w:numPr>
                <w:ilvl w:val="0"/>
                <w:numId w:val="19"/>
              </w:numPr>
              <w:contextualSpacing/>
              <w:jc w:val="both"/>
              <w:rPr>
                <w:rFonts w:ascii="Calibri" w:eastAsia="Calibri" w:hAnsi="Calibri" w:cs="Calibri"/>
                <w:color w:val="000000"/>
                <w:sz w:val="24"/>
                <w:szCs w:val="22"/>
                <w:lang w:val="en-GB"/>
              </w:rPr>
            </w:pPr>
            <w:r w:rsidRPr="002F3891">
              <w:rPr>
                <w:rFonts w:ascii="Calibri" w:eastAsia="Calibri" w:hAnsi="Calibri" w:cs="Calibri"/>
                <w:color w:val="000000"/>
                <w:sz w:val="24"/>
                <w:szCs w:val="22"/>
                <w:lang w:val="en-GB"/>
              </w:rPr>
              <w:t>Identify other visibility and outreach opportunities as appropriate.</w:t>
            </w:r>
          </w:p>
          <w:p w14:paraId="416A55DC" w14:textId="77777777" w:rsidR="002F3891" w:rsidRPr="002F3891" w:rsidRDefault="002F3891" w:rsidP="002F3891">
            <w:pPr>
              <w:spacing w:after="11" w:line="249" w:lineRule="auto"/>
              <w:ind w:left="10" w:right="62" w:hanging="10"/>
              <w:jc w:val="both"/>
              <w:rPr>
                <w:rFonts w:ascii="Calibri" w:eastAsia="Calibri" w:hAnsi="Calibri" w:cs="Calibri"/>
                <w:color w:val="000000"/>
                <w:sz w:val="24"/>
                <w:szCs w:val="22"/>
                <w:lang w:val="en-GB"/>
              </w:rPr>
            </w:pPr>
          </w:p>
        </w:tc>
        <w:tc>
          <w:tcPr>
            <w:tcW w:w="1005" w:type="dxa"/>
          </w:tcPr>
          <w:p w14:paraId="276CB22A"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r w:rsidRPr="002F3891">
              <w:rPr>
                <w:rFonts w:ascii="Calibri" w:eastAsia="Calibri" w:hAnsi="Calibri" w:cs="Arial"/>
                <w:b/>
                <w:color w:val="000000"/>
                <w:sz w:val="24"/>
                <w:szCs w:val="22"/>
                <w:lang w:val="en-GB"/>
              </w:rPr>
              <w:lastRenderedPageBreak/>
              <w:t>50%</w:t>
            </w:r>
          </w:p>
        </w:tc>
      </w:tr>
      <w:tr w:rsidR="002F3891" w:rsidRPr="002F3891" w14:paraId="70226A8C" w14:textId="77777777" w:rsidTr="008B1DFA">
        <w:tc>
          <w:tcPr>
            <w:tcW w:w="510" w:type="dxa"/>
          </w:tcPr>
          <w:p w14:paraId="46708FDB" w14:textId="77777777" w:rsidR="002F3891" w:rsidRPr="002F3891" w:rsidRDefault="002F3891" w:rsidP="002F3891">
            <w:pPr>
              <w:spacing w:after="11" w:line="249" w:lineRule="auto"/>
              <w:ind w:left="10" w:right="62" w:hanging="10"/>
              <w:jc w:val="both"/>
              <w:rPr>
                <w:rFonts w:ascii="Calibri" w:eastAsia="Calibri" w:hAnsi="Calibri" w:cs="Arial"/>
                <w:color w:val="000000"/>
                <w:sz w:val="24"/>
                <w:szCs w:val="22"/>
                <w:lang w:val="en-GB"/>
              </w:rPr>
            </w:pPr>
            <w:r w:rsidRPr="002F3891">
              <w:rPr>
                <w:rFonts w:ascii="Calibri" w:eastAsia="Calibri" w:hAnsi="Calibri" w:cs="Arial"/>
                <w:color w:val="000000"/>
                <w:sz w:val="24"/>
                <w:szCs w:val="22"/>
                <w:lang w:val="en-GB"/>
              </w:rPr>
              <w:t>2</w:t>
            </w:r>
          </w:p>
        </w:tc>
        <w:tc>
          <w:tcPr>
            <w:tcW w:w="7310" w:type="dxa"/>
          </w:tcPr>
          <w:p w14:paraId="674B8FC9" w14:textId="77777777" w:rsidR="002F3891" w:rsidRPr="002F3891" w:rsidRDefault="002F3891" w:rsidP="002F3891">
            <w:pPr>
              <w:spacing w:after="11" w:line="249" w:lineRule="auto"/>
              <w:ind w:left="10" w:right="62" w:hanging="10"/>
              <w:jc w:val="both"/>
              <w:rPr>
                <w:rFonts w:ascii="Calibri" w:eastAsia="Calibri" w:hAnsi="Calibri" w:cs="Calibri"/>
                <w:b/>
                <w:color w:val="000000"/>
                <w:sz w:val="24"/>
                <w:szCs w:val="22"/>
                <w:lang w:val="en-GB"/>
              </w:rPr>
            </w:pPr>
            <w:r w:rsidRPr="002F3891">
              <w:rPr>
                <w:rFonts w:ascii="Calibri" w:eastAsia="Calibri" w:hAnsi="Calibri" w:cs="Calibri"/>
                <w:b/>
                <w:color w:val="000000"/>
                <w:sz w:val="24"/>
                <w:szCs w:val="22"/>
                <w:lang w:val="en-GB"/>
              </w:rPr>
              <w:t>Policy Research and Analysis</w:t>
            </w:r>
          </w:p>
          <w:p w14:paraId="58D7F9F2" w14:textId="77777777" w:rsidR="002F3891" w:rsidRPr="002F3891" w:rsidRDefault="002F3891" w:rsidP="002F3891">
            <w:pPr>
              <w:numPr>
                <w:ilvl w:val="0"/>
                <w:numId w:val="24"/>
              </w:numPr>
              <w:contextualSpacing/>
              <w:jc w:val="both"/>
              <w:rPr>
                <w:rFonts w:ascii="Calibri" w:eastAsia="Calibri" w:hAnsi="Calibri" w:cs="Calibri"/>
                <w:color w:val="000000"/>
                <w:sz w:val="24"/>
                <w:szCs w:val="22"/>
                <w:lang w:val="en-GB"/>
              </w:rPr>
            </w:pPr>
            <w:r w:rsidRPr="002F3891">
              <w:rPr>
                <w:rFonts w:ascii="Calibri" w:eastAsia="Calibri" w:hAnsi="Calibri" w:cs="Calibri"/>
                <w:color w:val="000000"/>
                <w:sz w:val="24"/>
                <w:szCs w:val="22"/>
                <w:lang w:val="en-GB"/>
              </w:rPr>
              <w:t>Under the direct supervision of other team members, analyze research trends in SSTC</w:t>
            </w:r>
            <w:r w:rsidRPr="002F3891">
              <w:rPr>
                <w:rFonts w:ascii="Calibri" w:eastAsia="Calibri" w:hAnsi="Calibri" w:cs="Calibri" w:hint="eastAsia"/>
                <w:color w:val="000000"/>
                <w:sz w:val="24"/>
                <w:szCs w:val="22"/>
                <w:lang w:val="en-GB"/>
              </w:rPr>
              <w:t xml:space="preserve"> and identify linkages / key areas of</w:t>
            </w:r>
            <w:r w:rsidRPr="002F3891">
              <w:rPr>
                <w:rFonts w:ascii="Calibri" w:eastAsia="Calibri" w:hAnsi="Calibri" w:cs="Calibri"/>
                <w:color w:val="000000"/>
                <w:sz w:val="24"/>
                <w:szCs w:val="22"/>
                <w:lang w:val="en-GB"/>
              </w:rPr>
              <w:t xml:space="preserve"> support for UNDP's work in advancing SSTC agenda</w:t>
            </w:r>
          </w:p>
          <w:p w14:paraId="709C9047" w14:textId="77777777" w:rsidR="002F3891" w:rsidRPr="002F3891" w:rsidRDefault="002F3891" w:rsidP="002F3891">
            <w:pPr>
              <w:numPr>
                <w:ilvl w:val="0"/>
                <w:numId w:val="24"/>
              </w:numPr>
              <w:contextualSpacing/>
              <w:jc w:val="both"/>
              <w:rPr>
                <w:rFonts w:ascii="Calibri" w:eastAsia="Calibri" w:hAnsi="Calibri" w:cs="Calibri"/>
                <w:color w:val="000000"/>
                <w:sz w:val="24"/>
                <w:szCs w:val="22"/>
                <w:lang w:val="en-GB"/>
              </w:rPr>
            </w:pPr>
            <w:r w:rsidRPr="002F3891">
              <w:rPr>
                <w:rFonts w:ascii="Calibri" w:eastAsia="Calibri" w:hAnsi="Calibri" w:cs="Calibri"/>
                <w:color w:val="000000"/>
                <w:sz w:val="24"/>
                <w:szCs w:val="22"/>
                <w:lang w:val="en-GB"/>
              </w:rPr>
              <w:t>Contribute to policy research and to the development of policy / practice products such as issue briefs, discussions papers, country stories, blog posts and practice notes etc.</w:t>
            </w:r>
          </w:p>
          <w:p w14:paraId="4157EC0E" w14:textId="77777777" w:rsidR="002F3891" w:rsidRPr="002F3891" w:rsidRDefault="002F3891" w:rsidP="002F3891">
            <w:pPr>
              <w:ind w:left="720"/>
              <w:contextualSpacing/>
              <w:jc w:val="both"/>
              <w:rPr>
                <w:rFonts w:ascii="Calibri" w:eastAsia="Calibri" w:hAnsi="Calibri" w:cs="Calibri"/>
                <w:color w:val="000000"/>
                <w:sz w:val="24"/>
                <w:szCs w:val="22"/>
                <w:lang w:val="en-GB"/>
              </w:rPr>
            </w:pPr>
          </w:p>
        </w:tc>
        <w:tc>
          <w:tcPr>
            <w:tcW w:w="1005" w:type="dxa"/>
          </w:tcPr>
          <w:p w14:paraId="65079D17"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r w:rsidRPr="002F3891">
              <w:rPr>
                <w:rFonts w:ascii="Calibri" w:eastAsia="Calibri" w:hAnsi="Calibri" w:cs="Arial"/>
                <w:b/>
                <w:color w:val="000000"/>
                <w:sz w:val="24"/>
                <w:szCs w:val="22"/>
                <w:lang w:val="en-GB"/>
              </w:rPr>
              <w:t>30%</w:t>
            </w:r>
          </w:p>
        </w:tc>
      </w:tr>
      <w:tr w:rsidR="002F3891" w:rsidRPr="002F3891" w14:paraId="2F670DB9" w14:textId="77777777" w:rsidTr="008B1DFA">
        <w:tc>
          <w:tcPr>
            <w:tcW w:w="510" w:type="dxa"/>
          </w:tcPr>
          <w:p w14:paraId="735E6BFA" w14:textId="77777777" w:rsidR="002F3891" w:rsidRPr="002F3891" w:rsidRDefault="002F3891" w:rsidP="002F3891">
            <w:pPr>
              <w:spacing w:after="11" w:line="249" w:lineRule="auto"/>
              <w:ind w:left="10" w:right="62" w:hanging="10"/>
              <w:jc w:val="both"/>
              <w:rPr>
                <w:rFonts w:ascii="Calibri" w:eastAsia="Calibri" w:hAnsi="Calibri" w:cs="Calibri"/>
                <w:color w:val="000000"/>
                <w:sz w:val="24"/>
                <w:szCs w:val="22"/>
                <w:lang w:val="en-GB"/>
              </w:rPr>
            </w:pPr>
            <w:r w:rsidRPr="002F3891">
              <w:rPr>
                <w:rFonts w:ascii="Calibri" w:eastAsia="Calibri" w:hAnsi="Calibri" w:cs="Calibri"/>
                <w:color w:val="000000"/>
                <w:sz w:val="24"/>
                <w:szCs w:val="22"/>
                <w:lang w:val="en-GB"/>
              </w:rPr>
              <w:t>3</w:t>
            </w:r>
          </w:p>
        </w:tc>
        <w:tc>
          <w:tcPr>
            <w:tcW w:w="7310" w:type="dxa"/>
          </w:tcPr>
          <w:p w14:paraId="08613E0D" w14:textId="77777777" w:rsidR="002F3891" w:rsidRPr="002F3891" w:rsidRDefault="002F3891" w:rsidP="002F3891">
            <w:pPr>
              <w:spacing w:after="11" w:line="249" w:lineRule="auto"/>
              <w:ind w:left="10" w:right="62" w:hanging="10"/>
              <w:jc w:val="both"/>
              <w:rPr>
                <w:rFonts w:ascii="Calibri" w:eastAsia="Calibri" w:hAnsi="Calibri" w:cs="Calibri"/>
                <w:b/>
                <w:bCs/>
                <w:color w:val="000000"/>
                <w:sz w:val="24"/>
                <w:szCs w:val="22"/>
                <w:lang w:val="en-GB"/>
              </w:rPr>
            </w:pPr>
            <w:r w:rsidRPr="002F3891">
              <w:rPr>
                <w:rFonts w:ascii="Calibri" w:eastAsia="Calibri" w:hAnsi="Calibri" w:cs="Calibri"/>
                <w:b/>
                <w:bCs/>
                <w:color w:val="000000"/>
                <w:sz w:val="24"/>
                <w:szCs w:val="22"/>
                <w:lang w:val="en-GB"/>
              </w:rPr>
              <w:t>Logistical / Event Support:</w:t>
            </w:r>
          </w:p>
          <w:p w14:paraId="15961F50" w14:textId="77777777" w:rsidR="002F3891" w:rsidRPr="002F3891" w:rsidRDefault="002F3891" w:rsidP="002F3891">
            <w:pPr>
              <w:numPr>
                <w:ilvl w:val="0"/>
                <w:numId w:val="19"/>
              </w:numPr>
              <w:contextualSpacing/>
              <w:jc w:val="both"/>
              <w:rPr>
                <w:rFonts w:ascii="Calibri" w:eastAsia="Calibri" w:hAnsi="Calibri" w:cs="Calibri"/>
                <w:color w:val="000000"/>
                <w:sz w:val="24"/>
                <w:szCs w:val="22"/>
                <w:lang w:val="en-GB"/>
              </w:rPr>
            </w:pPr>
            <w:r w:rsidRPr="002F3891">
              <w:rPr>
                <w:rFonts w:ascii="Calibri" w:eastAsia="Calibri" w:hAnsi="Calibri" w:cs="Calibri"/>
                <w:color w:val="000000"/>
                <w:sz w:val="24"/>
                <w:szCs w:val="22"/>
                <w:lang w:val="en-GB"/>
              </w:rPr>
              <w:t>Provide logistical support to various events, including high-level events such as the Global South-South Development Expo (GSSD Expo), internal and external workshops, side events and Steering Committee meetings, among others.</w:t>
            </w:r>
          </w:p>
          <w:p w14:paraId="3B3C0872" w14:textId="77777777" w:rsidR="002F3891" w:rsidRPr="002F3891" w:rsidRDefault="002F3891" w:rsidP="002F3891">
            <w:pPr>
              <w:spacing w:after="11" w:line="249" w:lineRule="auto"/>
              <w:ind w:left="720" w:right="62" w:hanging="10"/>
              <w:contextualSpacing/>
              <w:jc w:val="both"/>
              <w:rPr>
                <w:rFonts w:ascii="Calibri" w:eastAsia="Calibri" w:hAnsi="Calibri" w:cs="Calibri"/>
                <w:color w:val="000000"/>
                <w:sz w:val="24"/>
                <w:szCs w:val="22"/>
                <w:lang w:val="en-GB"/>
              </w:rPr>
            </w:pPr>
          </w:p>
        </w:tc>
        <w:tc>
          <w:tcPr>
            <w:tcW w:w="1005" w:type="dxa"/>
          </w:tcPr>
          <w:p w14:paraId="091CC2BA" w14:textId="77777777" w:rsidR="002F3891" w:rsidRPr="002F3891" w:rsidRDefault="002F3891" w:rsidP="002F3891">
            <w:pPr>
              <w:spacing w:after="11" w:line="249" w:lineRule="auto"/>
              <w:ind w:left="360" w:right="62" w:hanging="10"/>
              <w:jc w:val="both"/>
              <w:rPr>
                <w:rFonts w:ascii="Calibri" w:eastAsia="Calibri" w:hAnsi="Calibri" w:cs="Calibri"/>
                <w:b/>
                <w:bCs/>
                <w:color w:val="000000"/>
                <w:sz w:val="24"/>
                <w:szCs w:val="22"/>
                <w:lang w:val="en-GB"/>
              </w:rPr>
            </w:pPr>
            <w:r w:rsidRPr="002F3891">
              <w:rPr>
                <w:rFonts w:ascii="Calibri" w:eastAsia="Calibri" w:hAnsi="Calibri" w:cs="Calibri"/>
                <w:b/>
                <w:bCs/>
                <w:color w:val="000000"/>
                <w:sz w:val="24"/>
                <w:szCs w:val="22"/>
                <w:lang w:val="en-GB"/>
              </w:rPr>
              <w:t>20%</w:t>
            </w:r>
          </w:p>
        </w:tc>
      </w:tr>
    </w:tbl>
    <w:p w14:paraId="1F8635DF"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p>
    <w:p w14:paraId="7ACD604F"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p>
    <w:p w14:paraId="33F4AEA9"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r w:rsidRPr="002F3891">
        <w:rPr>
          <w:rFonts w:ascii="Calibri" w:eastAsia="Calibri" w:hAnsi="Calibri" w:cs="Arial"/>
          <w:b/>
          <w:color w:val="000000"/>
          <w:sz w:val="24"/>
          <w:szCs w:val="22"/>
          <w:lang w:val="en-GB"/>
        </w:rPr>
        <w:t>IV. REQUIREMENTS AND QUALIFICATIONS</w:t>
      </w:r>
    </w:p>
    <w:p w14:paraId="4CDD5BE4" w14:textId="77777777" w:rsidR="002F3891" w:rsidRPr="002F3891" w:rsidRDefault="002F3891" w:rsidP="002F3891">
      <w:pPr>
        <w:spacing w:after="11" w:line="249" w:lineRule="auto"/>
        <w:ind w:left="10" w:right="62" w:hanging="10"/>
        <w:jc w:val="both"/>
        <w:rPr>
          <w:rFonts w:ascii="Calibri" w:eastAsia="Calibri" w:hAnsi="Calibri" w:cs="Arial"/>
          <w:b/>
          <w:color w:val="000000"/>
          <w:sz w:val="24"/>
          <w:szCs w:val="22"/>
          <w:lang w:val="en-GB"/>
        </w:rPr>
      </w:pPr>
    </w:p>
    <w:p w14:paraId="631B1324" w14:textId="77777777" w:rsidR="002F3891" w:rsidRPr="002F3891" w:rsidRDefault="002F3891" w:rsidP="002F3891">
      <w:pPr>
        <w:spacing w:after="11" w:line="249" w:lineRule="auto"/>
        <w:ind w:left="10" w:right="62" w:hanging="10"/>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 xml:space="preserve">Education: </w:t>
      </w:r>
    </w:p>
    <w:p w14:paraId="20BA39B3" w14:textId="77777777" w:rsidR="002F3891" w:rsidRPr="002F3891" w:rsidRDefault="002F3891" w:rsidP="002F3891">
      <w:pPr>
        <w:tabs>
          <w:tab w:val="center" w:pos="4680"/>
          <w:tab w:val="right" w:pos="9360"/>
        </w:tabs>
        <w:ind w:left="10" w:right="62" w:hanging="10"/>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Candidates must be currently enrolled in a postgraduate programme (such as a Master’s programme or higher) in a development related field such as international relations/international development studies, social affairs, economics, public administration, public policy, or; or have graduated no longer than 1 year ago from a university degree or equivalent studies in any of the above-mentioned fields.</w:t>
      </w:r>
    </w:p>
    <w:p w14:paraId="234457E7" w14:textId="77777777" w:rsidR="002F3891" w:rsidRPr="002F3891" w:rsidRDefault="002F3891" w:rsidP="002F3891">
      <w:pPr>
        <w:tabs>
          <w:tab w:val="center" w:pos="4680"/>
          <w:tab w:val="right" w:pos="9360"/>
        </w:tabs>
        <w:spacing w:before="100" w:beforeAutospacing="1"/>
        <w:ind w:left="10" w:right="62" w:hanging="10"/>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Experience:</w:t>
      </w:r>
    </w:p>
    <w:p w14:paraId="0FED0486" w14:textId="77777777" w:rsidR="002F3891" w:rsidRPr="002F3891" w:rsidRDefault="002F3891" w:rsidP="002F3891">
      <w:pPr>
        <w:numPr>
          <w:ilvl w:val="0"/>
          <w:numId w:val="19"/>
        </w:numPr>
        <w:tabs>
          <w:tab w:val="center" w:pos="4320"/>
          <w:tab w:val="right" w:pos="8640"/>
        </w:tabs>
        <w:ind w:left="714" w:hanging="357"/>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Previous experience in research and/or international policy development, communications, advocacy, is an asset, and experience in developing countries is desirable.</w:t>
      </w:r>
    </w:p>
    <w:p w14:paraId="12D346B9" w14:textId="77777777" w:rsidR="002F3891" w:rsidRPr="002F3891" w:rsidRDefault="002F3891" w:rsidP="002F3891">
      <w:pPr>
        <w:numPr>
          <w:ilvl w:val="0"/>
          <w:numId w:val="19"/>
        </w:numPr>
        <w:tabs>
          <w:tab w:val="center" w:pos="4320"/>
          <w:tab w:val="right" w:pos="8640"/>
        </w:tabs>
        <w:ind w:left="714" w:hanging="357"/>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lastRenderedPageBreak/>
        <w:t>Knowledge of, or direct experience working on SSTC is an asset.</w:t>
      </w:r>
    </w:p>
    <w:p w14:paraId="4E4CE9F8" w14:textId="77777777" w:rsidR="002F3891" w:rsidRPr="002F3891" w:rsidRDefault="002F3891" w:rsidP="002F3891">
      <w:pPr>
        <w:tabs>
          <w:tab w:val="center" w:pos="4680"/>
          <w:tab w:val="right" w:pos="9360"/>
        </w:tabs>
        <w:spacing w:before="100" w:beforeAutospacing="1"/>
        <w:ind w:left="10" w:right="62" w:hanging="10"/>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IT skills:</w:t>
      </w:r>
    </w:p>
    <w:p w14:paraId="77B8A2DC" w14:textId="77777777" w:rsidR="002F3891" w:rsidRPr="002F3891" w:rsidRDefault="002F3891" w:rsidP="002F3891">
      <w:pPr>
        <w:numPr>
          <w:ilvl w:val="0"/>
          <w:numId w:val="19"/>
        </w:numPr>
        <w:tabs>
          <w:tab w:val="center" w:pos="4320"/>
          <w:tab w:val="right" w:pos="8640"/>
        </w:tabs>
        <w:ind w:left="714" w:hanging="357"/>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Knowledge and a proficient user of Microsoft Office productivity tools;</w:t>
      </w:r>
    </w:p>
    <w:p w14:paraId="014CD4FA" w14:textId="77777777" w:rsidR="002F3891" w:rsidRPr="002F3891" w:rsidRDefault="002F3891" w:rsidP="002F3891">
      <w:pPr>
        <w:numPr>
          <w:ilvl w:val="0"/>
          <w:numId w:val="19"/>
        </w:numPr>
        <w:tabs>
          <w:tab w:val="center" w:pos="4320"/>
          <w:tab w:val="right" w:pos="8640"/>
        </w:tabs>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 xml:space="preserve">Strong online research skills. </w:t>
      </w:r>
    </w:p>
    <w:p w14:paraId="7B932274" w14:textId="77777777" w:rsidR="002F3891" w:rsidRPr="002F3891" w:rsidRDefault="002F3891" w:rsidP="002F3891">
      <w:pPr>
        <w:numPr>
          <w:ilvl w:val="0"/>
          <w:numId w:val="19"/>
        </w:numPr>
        <w:tabs>
          <w:tab w:val="center" w:pos="4320"/>
          <w:tab w:val="right" w:pos="8640"/>
        </w:tabs>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Skills in graphic design and video production as well as excel and database management skills are considered assets.</w:t>
      </w:r>
    </w:p>
    <w:p w14:paraId="569DBFB7" w14:textId="77777777" w:rsidR="002F3891" w:rsidRPr="002F3891" w:rsidRDefault="002F3891" w:rsidP="002F3891">
      <w:pPr>
        <w:tabs>
          <w:tab w:val="center" w:pos="4680"/>
          <w:tab w:val="right" w:pos="9360"/>
        </w:tabs>
        <w:spacing w:before="100" w:beforeAutospacing="1"/>
        <w:ind w:left="10" w:right="62" w:hanging="10"/>
        <w:jc w:val="both"/>
        <w:rPr>
          <w:rFonts w:ascii="Calibri" w:eastAsia="Times New Roman" w:hAnsi="Calibri" w:cs="Calibri"/>
          <w:sz w:val="24"/>
          <w:szCs w:val="24"/>
          <w:lang w:eastAsia="zh-CN"/>
        </w:rPr>
      </w:pPr>
      <w:r w:rsidRPr="002F3891">
        <w:rPr>
          <w:rFonts w:ascii="Calibri" w:eastAsia="Times New Roman" w:hAnsi="Calibri" w:cs="Calibri"/>
          <w:sz w:val="24"/>
          <w:szCs w:val="24"/>
          <w:lang w:eastAsia="zh-CN"/>
        </w:rPr>
        <w:t>Language skills:</w:t>
      </w:r>
    </w:p>
    <w:p w14:paraId="7CD0B35B"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Excellent written and oral communication skills in English is required;</w:t>
      </w:r>
    </w:p>
    <w:p w14:paraId="6D7DAF21"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Knowledge of other UN languages is an advantage.</w:t>
      </w:r>
    </w:p>
    <w:p w14:paraId="09B4759C" w14:textId="77777777" w:rsidR="002F3891" w:rsidRPr="002F3891" w:rsidRDefault="002F3891" w:rsidP="002F3891">
      <w:pPr>
        <w:tabs>
          <w:tab w:val="center" w:pos="4680"/>
          <w:tab w:val="right" w:pos="9360"/>
        </w:tabs>
        <w:spacing w:before="100" w:beforeAutospacing="1"/>
        <w:ind w:left="10" w:right="62" w:hanging="10"/>
        <w:jc w:val="both"/>
        <w:rPr>
          <w:rFonts w:ascii="Calibri" w:eastAsia="Calibri" w:hAnsi="Calibri" w:cs="Arial"/>
          <w:b/>
          <w:color w:val="000000"/>
          <w:sz w:val="24"/>
          <w:szCs w:val="24"/>
        </w:rPr>
      </w:pPr>
      <w:r w:rsidRPr="002F3891">
        <w:rPr>
          <w:rFonts w:ascii="Calibri" w:eastAsia="Calibri" w:hAnsi="Calibri" w:cs="Arial"/>
          <w:b/>
          <w:color w:val="000000"/>
          <w:sz w:val="24"/>
          <w:szCs w:val="24"/>
        </w:rPr>
        <w:t>Other competencies and attitude:</w:t>
      </w:r>
    </w:p>
    <w:p w14:paraId="6B109572"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ab/>
        <w:t>Interest and motivation in working in an international organization;</w:t>
      </w:r>
    </w:p>
    <w:p w14:paraId="764223F5"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ab/>
        <w:t>Good analytical skills in gathering and consolidating data and research for practical implementation;</w:t>
      </w:r>
    </w:p>
    <w:p w14:paraId="626A5D6C"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Outgoing and initiative-taking person with a goal-oriented mind-set;</w:t>
      </w:r>
    </w:p>
    <w:p w14:paraId="258ED5F9"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ab/>
        <w:t>Communicates effectively when working in teams and independently;</w:t>
      </w:r>
    </w:p>
    <w:p w14:paraId="73B36DD9"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ab/>
        <w:t xml:space="preserve">Good in organizing and structuring various tasks and responsibilities; </w:t>
      </w:r>
    </w:p>
    <w:p w14:paraId="458A071B"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ab/>
        <w:t>Displays cultural, gender, religion, race, nationality and age sensitivity and adaptability;</w:t>
      </w:r>
    </w:p>
    <w:p w14:paraId="5B3F7897"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Responds positively to feedback and differing points of view;</w:t>
      </w:r>
    </w:p>
    <w:p w14:paraId="2D021445" w14:textId="77777777" w:rsidR="002F3891" w:rsidRPr="002F3891" w:rsidRDefault="002F3891" w:rsidP="002F3891">
      <w:pPr>
        <w:numPr>
          <w:ilvl w:val="0"/>
          <w:numId w:val="19"/>
        </w:numPr>
        <w:tabs>
          <w:tab w:val="center" w:pos="4320"/>
          <w:tab w:val="right" w:pos="8640"/>
        </w:tabs>
        <w:ind w:left="714" w:hanging="357"/>
        <w:jc w:val="both"/>
        <w:rPr>
          <w:rFonts w:ascii="Calibri" w:eastAsia="Calibri" w:hAnsi="Calibri" w:cs="Arial"/>
          <w:color w:val="000000"/>
          <w:sz w:val="24"/>
          <w:szCs w:val="24"/>
        </w:rPr>
      </w:pPr>
      <w:r w:rsidRPr="002F3891">
        <w:rPr>
          <w:rFonts w:ascii="Calibri" w:eastAsia="Calibri" w:hAnsi="Calibri" w:cs="Arial"/>
          <w:color w:val="000000"/>
          <w:sz w:val="24"/>
          <w:szCs w:val="24"/>
        </w:rPr>
        <w:t>Consistently approaches work with energy and a positive, constructive attitude.</w:t>
      </w:r>
    </w:p>
    <w:p w14:paraId="6D5EDFB5" w14:textId="77777777" w:rsidR="002F3891" w:rsidRPr="00F20631" w:rsidRDefault="002F3891" w:rsidP="002F3891">
      <w:pPr>
        <w:pStyle w:val="Header"/>
        <w:jc w:val="both"/>
        <w:rPr>
          <w:rFonts w:asciiTheme="minorHAnsi" w:hAnsiTheme="minorHAnsi" w:cs="Arial"/>
          <w:sz w:val="20"/>
        </w:rPr>
      </w:pPr>
    </w:p>
    <w:sectPr w:rsidR="002F3891" w:rsidRPr="00F20631" w:rsidSect="00A13D39">
      <w:headerReference w:type="default" r:id="rId12"/>
      <w:footerReference w:type="default" r:id="rId13"/>
      <w:headerReference w:type="first" r:id="rId14"/>
      <w:footerReference w:type="first" r:id="rId15"/>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E3478" w14:textId="77777777" w:rsidR="00C16799" w:rsidRDefault="00C16799">
      <w:r>
        <w:separator/>
      </w:r>
    </w:p>
  </w:endnote>
  <w:endnote w:type="continuationSeparator" w:id="0">
    <w:p w14:paraId="1082E619" w14:textId="77777777" w:rsidR="00C16799" w:rsidRDefault="00C1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4EC7B" w14:textId="77777777" w:rsidR="00C16799" w:rsidRDefault="00C16799">
      <w:r>
        <w:separator/>
      </w:r>
    </w:p>
  </w:footnote>
  <w:footnote w:type="continuationSeparator" w:id="0">
    <w:p w14:paraId="7C5DB793" w14:textId="77777777" w:rsidR="00C16799" w:rsidRDefault="00C1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AA66CB"/>
    <w:multiLevelType w:val="hybridMultilevel"/>
    <w:tmpl w:val="7562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6141087">
    <w:abstractNumId w:val="12"/>
  </w:num>
  <w:num w:numId="2" w16cid:durableId="1068768664">
    <w:abstractNumId w:val="19"/>
  </w:num>
  <w:num w:numId="3" w16cid:durableId="265312738">
    <w:abstractNumId w:val="4"/>
  </w:num>
  <w:num w:numId="4" w16cid:durableId="1591547730">
    <w:abstractNumId w:val="9"/>
  </w:num>
  <w:num w:numId="5" w16cid:durableId="518936227">
    <w:abstractNumId w:val="18"/>
  </w:num>
  <w:num w:numId="6" w16cid:durableId="9575230">
    <w:abstractNumId w:val="16"/>
  </w:num>
  <w:num w:numId="7" w16cid:durableId="1920015410">
    <w:abstractNumId w:val="21"/>
  </w:num>
  <w:num w:numId="8" w16cid:durableId="360251582">
    <w:abstractNumId w:val="7"/>
  </w:num>
  <w:num w:numId="9" w16cid:durableId="731199173">
    <w:abstractNumId w:val="22"/>
  </w:num>
  <w:num w:numId="10" w16cid:durableId="1189611329">
    <w:abstractNumId w:val="0"/>
  </w:num>
  <w:num w:numId="11" w16cid:durableId="1877960494">
    <w:abstractNumId w:val="10"/>
  </w:num>
  <w:num w:numId="12" w16cid:durableId="1227954833">
    <w:abstractNumId w:val="5"/>
  </w:num>
  <w:num w:numId="13" w16cid:durableId="1258827629">
    <w:abstractNumId w:val="20"/>
  </w:num>
  <w:num w:numId="14" w16cid:durableId="528643863">
    <w:abstractNumId w:val="2"/>
  </w:num>
  <w:num w:numId="15" w16cid:durableId="682318293">
    <w:abstractNumId w:val="17"/>
  </w:num>
  <w:num w:numId="16" w16cid:durableId="1429741404">
    <w:abstractNumId w:val="15"/>
  </w:num>
  <w:num w:numId="17" w16cid:durableId="1197087543">
    <w:abstractNumId w:val="3"/>
  </w:num>
  <w:num w:numId="18" w16cid:durableId="1171528095">
    <w:abstractNumId w:val="1"/>
  </w:num>
  <w:num w:numId="19" w16cid:durableId="976255429">
    <w:abstractNumId w:val="6"/>
  </w:num>
  <w:num w:numId="20" w16cid:durableId="1811709907">
    <w:abstractNumId w:val="11"/>
  </w:num>
  <w:num w:numId="21" w16cid:durableId="868176529">
    <w:abstractNumId w:val="24"/>
  </w:num>
  <w:num w:numId="22" w16cid:durableId="831604476">
    <w:abstractNumId w:val="13"/>
  </w:num>
  <w:num w:numId="23" w16cid:durableId="1210729779">
    <w:abstractNumId w:val="8"/>
  </w:num>
  <w:num w:numId="24" w16cid:durableId="1487093438">
    <w:abstractNumId w:val="23"/>
  </w:num>
  <w:num w:numId="25" w16cid:durableId="10857615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2F3891"/>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6E10"/>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16799"/>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c-globalthinkers.org/homepag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1159</Words>
  <Characters>6608</Characters>
  <Application>Microsoft Office Word</Application>
  <DocSecurity>0</DocSecurity>
  <Lines>55</Lines>
  <Paragraphs>15</Paragraphs>
  <ScaleCrop>false</ScaleCrop>
  <Company>UNDP/IAPSO</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3</cp:revision>
  <dcterms:created xsi:type="dcterms:W3CDTF">2023-02-09T14:24:00Z</dcterms:created>
  <dcterms:modified xsi:type="dcterms:W3CDTF">2023-02-27T07:23:00Z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